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1D46A" w14:textId="3C4352B0" w:rsidR="336EBC96" w:rsidRPr="0094003A" w:rsidRDefault="003350AF" w:rsidP="00732E83">
      <w:pPr>
        <w:jc w:val="center"/>
        <w:rPr>
          <w:rFonts w:eastAsia="-webkit-standard" w:cs="-webkit-standard"/>
          <w:sz w:val="22"/>
          <w:szCs w:val="22"/>
        </w:rPr>
      </w:pPr>
      <w:r w:rsidRPr="0094003A">
        <w:rPr>
          <w:rFonts w:eastAsia="-webkit-standard" w:cs="-webkit-standard"/>
          <w:b/>
          <w:bCs/>
          <w:sz w:val="22"/>
          <w:szCs w:val="22"/>
        </w:rPr>
        <w:t>INFORME DE SEGUIMIENTO A LA IMPLEMENTACIÓN DEL PROGRAMA NACIONAL COLOMBIA SOLAR</w:t>
      </w:r>
      <w:r w:rsidRPr="0094003A">
        <w:rPr>
          <w:sz w:val="22"/>
          <w:szCs w:val="22"/>
        </w:rPr>
        <w:br/>
      </w:r>
    </w:p>
    <w:p w14:paraId="0A175686" w14:textId="16F682F2" w:rsidR="336EBC96" w:rsidRPr="0094003A" w:rsidRDefault="336EBC96" w:rsidP="336EBC96">
      <w:pPr>
        <w:jc w:val="both"/>
        <w:rPr>
          <w:rFonts w:eastAsia="-webkit-standard" w:cs="-webkit-standard"/>
          <w:sz w:val="22"/>
          <w:szCs w:val="22"/>
        </w:rPr>
      </w:pPr>
    </w:p>
    <w:p w14:paraId="1069A9FC" w14:textId="09D05EC1" w:rsidR="336EBC96" w:rsidRPr="0094003A" w:rsidRDefault="336EBC96" w:rsidP="336EBC96">
      <w:pPr>
        <w:jc w:val="both"/>
        <w:rPr>
          <w:rFonts w:eastAsia="-webkit-standard" w:cs="-webkit-standard"/>
          <w:sz w:val="22"/>
          <w:szCs w:val="22"/>
        </w:rPr>
      </w:pPr>
    </w:p>
    <w:p w14:paraId="26827C7E" w14:textId="13D251AC" w:rsidR="336EBC96" w:rsidRPr="0094003A" w:rsidRDefault="336EBC96" w:rsidP="336EBC96">
      <w:pPr>
        <w:jc w:val="both"/>
        <w:rPr>
          <w:rFonts w:eastAsia="-webkit-standard" w:cs="-webkit-standard"/>
          <w:sz w:val="22"/>
          <w:szCs w:val="22"/>
        </w:rPr>
      </w:pPr>
    </w:p>
    <w:p w14:paraId="1774A3E7" w14:textId="5699ACBE" w:rsidR="336EBC96" w:rsidRPr="0094003A" w:rsidRDefault="336EBC96" w:rsidP="336EBC96">
      <w:pPr>
        <w:jc w:val="both"/>
        <w:rPr>
          <w:rFonts w:eastAsia="-webkit-standard" w:cs="-webkit-standard"/>
          <w:sz w:val="22"/>
          <w:szCs w:val="22"/>
        </w:rPr>
      </w:pPr>
    </w:p>
    <w:p w14:paraId="304C71F6" w14:textId="5AF455AE" w:rsidR="336EBC96" w:rsidRPr="0094003A" w:rsidRDefault="336EBC96" w:rsidP="336EBC96">
      <w:pPr>
        <w:jc w:val="both"/>
        <w:rPr>
          <w:rFonts w:eastAsia="-webkit-standard" w:cs="-webkit-standard"/>
          <w:sz w:val="22"/>
          <w:szCs w:val="22"/>
        </w:rPr>
      </w:pPr>
    </w:p>
    <w:p w14:paraId="239D33C1" w14:textId="7E5A4332" w:rsidR="336EBC96" w:rsidRPr="0094003A" w:rsidRDefault="336EBC96" w:rsidP="336EBC96">
      <w:pPr>
        <w:jc w:val="both"/>
        <w:rPr>
          <w:rFonts w:eastAsia="-webkit-standard" w:cs="-webkit-standard"/>
          <w:sz w:val="22"/>
          <w:szCs w:val="22"/>
        </w:rPr>
      </w:pPr>
    </w:p>
    <w:p w14:paraId="02729042" w14:textId="071175B9" w:rsidR="336EBC96" w:rsidRPr="0094003A" w:rsidRDefault="336EBC96" w:rsidP="336EBC96">
      <w:pPr>
        <w:jc w:val="both"/>
        <w:rPr>
          <w:rFonts w:eastAsia="-webkit-standard" w:cs="-webkit-standard"/>
          <w:sz w:val="22"/>
          <w:szCs w:val="22"/>
        </w:rPr>
      </w:pPr>
    </w:p>
    <w:p w14:paraId="0346D3F1" w14:textId="62A17CD9" w:rsidR="336EBC96" w:rsidRPr="0094003A" w:rsidRDefault="336EBC96" w:rsidP="336EBC96">
      <w:pPr>
        <w:jc w:val="both"/>
        <w:rPr>
          <w:rFonts w:eastAsia="-webkit-standard" w:cs="-webkit-standard"/>
          <w:sz w:val="22"/>
          <w:szCs w:val="22"/>
        </w:rPr>
      </w:pPr>
    </w:p>
    <w:p w14:paraId="071C3C81" w14:textId="66B3555C" w:rsidR="336EBC96" w:rsidRPr="0094003A" w:rsidRDefault="336EBC96" w:rsidP="336EBC96">
      <w:pPr>
        <w:jc w:val="both"/>
        <w:rPr>
          <w:rFonts w:eastAsia="-webkit-standard" w:cs="-webkit-standard"/>
          <w:sz w:val="22"/>
          <w:szCs w:val="22"/>
        </w:rPr>
      </w:pPr>
    </w:p>
    <w:p w14:paraId="1616D912" w14:textId="797EE765" w:rsidR="336EBC96" w:rsidRPr="0094003A" w:rsidRDefault="336EBC96" w:rsidP="336EBC96">
      <w:pPr>
        <w:jc w:val="both"/>
        <w:rPr>
          <w:rFonts w:eastAsia="-webkit-standard" w:cs="-webkit-standard"/>
          <w:sz w:val="22"/>
          <w:szCs w:val="22"/>
        </w:rPr>
      </w:pPr>
    </w:p>
    <w:p w14:paraId="5DCA819E" w14:textId="1A49945F" w:rsidR="336EBC96" w:rsidRPr="0094003A" w:rsidRDefault="336EBC96" w:rsidP="336EBC96">
      <w:pPr>
        <w:jc w:val="both"/>
        <w:rPr>
          <w:rFonts w:eastAsia="-webkit-standard" w:cs="-webkit-standard"/>
          <w:sz w:val="22"/>
          <w:szCs w:val="22"/>
        </w:rPr>
      </w:pPr>
    </w:p>
    <w:p w14:paraId="468793E5" w14:textId="32A9FF98" w:rsidR="336EBC96" w:rsidRPr="0094003A" w:rsidRDefault="336EBC96" w:rsidP="336EBC96">
      <w:pPr>
        <w:jc w:val="both"/>
        <w:rPr>
          <w:rFonts w:eastAsia="-webkit-standard" w:cs="-webkit-standard"/>
          <w:sz w:val="22"/>
          <w:szCs w:val="22"/>
        </w:rPr>
      </w:pPr>
    </w:p>
    <w:p w14:paraId="557E3736" w14:textId="28C8881F" w:rsidR="003350AF" w:rsidRDefault="00944764" w:rsidP="00944764">
      <w:pPr>
        <w:spacing w:after="0"/>
        <w:jc w:val="center"/>
        <w:rPr>
          <w:rFonts w:eastAsia="-webkit-standard" w:cs="-webkit-standard"/>
          <w:b/>
          <w:bCs/>
          <w:sz w:val="22"/>
          <w:szCs w:val="22"/>
        </w:rPr>
      </w:pPr>
      <w:r w:rsidRPr="0094003A">
        <w:rPr>
          <w:rFonts w:eastAsia="-webkit-standard" w:cs="-webkit-standard"/>
          <w:b/>
          <w:bCs/>
          <w:sz w:val="22"/>
          <w:szCs w:val="22"/>
        </w:rPr>
        <w:t xml:space="preserve">ACTIVIDAD 2 </w:t>
      </w:r>
    </w:p>
    <w:p w14:paraId="2771F562" w14:textId="77777777" w:rsidR="00944764" w:rsidRDefault="00944764" w:rsidP="00944764">
      <w:pPr>
        <w:spacing w:after="0"/>
        <w:jc w:val="center"/>
        <w:rPr>
          <w:rFonts w:eastAsia="-webkit-standard" w:cs="-webkit-standard"/>
          <w:b/>
          <w:bCs/>
          <w:sz w:val="22"/>
          <w:szCs w:val="22"/>
        </w:rPr>
      </w:pPr>
      <w:r w:rsidRPr="0094003A">
        <w:rPr>
          <w:rFonts w:eastAsia="-webkit-standard" w:cs="-webkit-standard"/>
          <w:b/>
          <w:bCs/>
          <w:sz w:val="22"/>
          <w:szCs w:val="22"/>
        </w:rPr>
        <w:t xml:space="preserve"> SERVICIO DE APOYO FINANCIERO: MECANISMOS DE SUPERVISIÓN, </w:t>
      </w:r>
    </w:p>
    <w:p w14:paraId="09B45E2C" w14:textId="61DAF18F" w:rsidR="003A7491" w:rsidRDefault="00944764" w:rsidP="00944764">
      <w:pPr>
        <w:spacing w:after="0"/>
        <w:jc w:val="center"/>
        <w:rPr>
          <w:rFonts w:eastAsia="-webkit-standard" w:cs="-webkit-standard"/>
          <w:b/>
          <w:bCs/>
          <w:sz w:val="22"/>
          <w:szCs w:val="22"/>
        </w:rPr>
      </w:pPr>
      <w:r w:rsidRPr="0094003A">
        <w:rPr>
          <w:rFonts w:eastAsia="-webkit-standard" w:cs="-webkit-standard"/>
          <w:b/>
          <w:bCs/>
          <w:sz w:val="22"/>
          <w:szCs w:val="22"/>
        </w:rPr>
        <w:t>INTERVENTORÍA Y MONITOREO</w:t>
      </w:r>
      <w:r w:rsidRPr="0094003A">
        <w:rPr>
          <w:sz w:val="22"/>
          <w:szCs w:val="22"/>
        </w:rPr>
        <w:br/>
      </w:r>
    </w:p>
    <w:p w14:paraId="3B3A8B87" w14:textId="77777777" w:rsidR="003A7491" w:rsidRDefault="003A7491" w:rsidP="336EBC96">
      <w:pPr>
        <w:jc w:val="center"/>
        <w:rPr>
          <w:rFonts w:eastAsia="-webkit-standard" w:cs="-webkit-standard"/>
          <w:b/>
          <w:bCs/>
          <w:sz w:val="22"/>
          <w:szCs w:val="22"/>
        </w:rPr>
      </w:pPr>
    </w:p>
    <w:p w14:paraId="4C3D083B" w14:textId="77777777" w:rsidR="003A7491" w:rsidRDefault="003A7491" w:rsidP="336EBC96">
      <w:pPr>
        <w:jc w:val="center"/>
        <w:rPr>
          <w:rFonts w:eastAsia="-webkit-standard" w:cs="-webkit-standard"/>
          <w:b/>
          <w:bCs/>
          <w:sz w:val="22"/>
          <w:szCs w:val="22"/>
        </w:rPr>
      </w:pPr>
    </w:p>
    <w:p w14:paraId="4E928C90" w14:textId="77777777" w:rsidR="003350AF" w:rsidRDefault="003350AF" w:rsidP="336EBC96">
      <w:pPr>
        <w:jc w:val="center"/>
        <w:rPr>
          <w:rFonts w:eastAsia="-webkit-standard" w:cs="-webkit-standard"/>
          <w:b/>
          <w:bCs/>
          <w:sz w:val="22"/>
          <w:szCs w:val="22"/>
        </w:rPr>
      </w:pPr>
    </w:p>
    <w:p w14:paraId="6A3E6562" w14:textId="77777777" w:rsidR="003350AF" w:rsidRDefault="003350AF" w:rsidP="336EBC96">
      <w:pPr>
        <w:jc w:val="center"/>
        <w:rPr>
          <w:rFonts w:eastAsia="-webkit-standard" w:cs="-webkit-standard"/>
          <w:b/>
          <w:bCs/>
          <w:sz w:val="22"/>
          <w:szCs w:val="22"/>
        </w:rPr>
      </w:pPr>
    </w:p>
    <w:p w14:paraId="23D0C06F" w14:textId="77777777" w:rsidR="003350AF" w:rsidRDefault="003350AF" w:rsidP="336EBC96">
      <w:pPr>
        <w:jc w:val="center"/>
        <w:rPr>
          <w:rFonts w:eastAsia="-webkit-standard" w:cs="-webkit-standard"/>
          <w:b/>
          <w:bCs/>
          <w:sz w:val="22"/>
          <w:szCs w:val="22"/>
        </w:rPr>
      </w:pPr>
    </w:p>
    <w:p w14:paraId="204C5A02" w14:textId="77777777" w:rsidR="003350AF" w:rsidRDefault="003350AF" w:rsidP="336EBC96">
      <w:pPr>
        <w:jc w:val="center"/>
        <w:rPr>
          <w:rFonts w:eastAsia="-webkit-standard" w:cs="-webkit-standard"/>
          <w:b/>
          <w:bCs/>
          <w:sz w:val="22"/>
          <w:szCs w:val="22"/>
        </w:rPr>
      </w:pPr>
    </w:p>
    <w:p w14:paraId="0699CA29" w14:textId="77777777" w:rsidR="003350AF" w:rsidRDefault="003350AF" w:rsidP="336EBC96">
      <w:pPr>
        <w:jc w:val="center"/>
        <w:rPr>
          <w:rFonts w:eastAsia="-webkit-standard" w:cs="-webkit-standard"/>
          <w:b/>
          <w:bCs/>
          <w:sz w:val="22"/>
          <w:szCs w:val="22"/>
        </w:rPr>
      </w:pPr>
    </w:p>
    <w:p w14:paraId="4344A109" w14:textId="77777777" w:rsidR="003350AF" w:rsidRDefault="003350AF" w:rsidP="336EBC96">
      <w:pPr>
        <w:jc w:val="center"/>
        <w:rPr>
          <w:rFonts w:eastAsia="-webkit-standard" w:cs="-webkit-standard"/>
          <w:b/>
          <w:bCs/>
          <w:sz w:val="22"/>
          <w:szCs w:val="22"/>
        </w:rPr>
      </w:pPr>
    </w:p>
    <w:p w14:paraId="42CCF0E9" w14:textId="77777777" w:rsidR="003350AF" w:rsidRDefault="003350AF" w:rsidP="336EBC96">
      <w:pPr>
        <w:jc w:val="center"/>
        <w:rPr>
          <w:rFonts w:eastAsia="-webkit-standard" w:cs="-webkit-standard"/>
          <w:b/>
          <w:bCs/>
          <w:sz w:val="22"/>
          <w:szCs w:val="22"/>
        </w:rPr>
      </w:pPr>
    </w:p>
    <w:p w14:paraId="38AC2EED" w14:textId="151ACDC8" w:rsidR="003350AF" w:rsidRDefault="00944764" w:rsidP="00944764">
      <w:pPr>
        <w:spacing w:after="0"/>
        <w:jc w:val="center"/>
        <w:rPr>
          <w:rFonts w:eastAsia="-webkit-standard" w:cs="-webkit-standard"/>
          <w:b/>
          <w:bCs/>
          <w:sz w:val="22"/>
          <w:szCs w:val="22"/>
        </w:rPr>
      </w:pPr>
      <w:r>
        <w:rPr>
          <w:rFonts w:eastAsia="-webkit-standard" w:cs="-webkit-standard"/>
          <w:b/>
          <w:bCs/>
          <w:sz w:val="22"/>
          <w:szCs w:val="22"/>
        </w:rPr>
        <w:t>MINISTERIO DE MINAS Y ENERGÍA</w:t>
      </w:r>
    </w:p>
    <w:p w14:paraId="6C18E053" w14:textId="6FE3FE0E" w:rsidR="52551FFD" w:rsidRPr="0094003A" w:rsidRDefault="00944764" w:rsidP="00944764">
      <w:pPr>
        <w:spacing w:after="0"/>
        <w:jc w:val="center"/>
        <w:rPr>
          <w:sz w:val="22"/>
          <w:szCs w:val="22"/>
        </w:rPr>
      </w:pPr>
      <w:r>
        <w:rPr>
          <w:rFonts w:eastAsia="-webkit-standard" w:cs="-webkit-standard"/>
          <w:b/>
          <w:bCs/>
          <w:sz w:val="22"/>
          <w:szCs w:val="22"/>
        </w:rPr>
        <w:t>P</w:t>
      </w:r>
      <w:r w:rsidRPr="0094003A">
        <w:rPr>
          <w:rFonts w:eastAsia="-webkit-standard" w:cs="-webkit-standard"/>
          <w:b/>
          <w:bCs/>
          <w:sz w:val="22"/>
          <w:szCs w:val="22"/>
        </w:rPr>
        <w:t>RIMER SEMESTRE DE 2026</w:t>
      </w:r>
    </w:p>
    <w:p w14:paraId="0C2A3951" w14:textId="463449C6" w:rsidR="336EBC96" w:rsidRPr="0094003A" w:rsidRDefault="336EBC96" w:rsidP="00944764">
      <w:pPr>
        <w:spacing w:after="0"/>
        <w:jc w:val="both"/>
        <w:rPr>
          <w:rFonts w:eastAsia="-webkit-standard" w:cs="-webkit-standard"/>
          <w:sz w:val="22"/>
          <w:szCs w:val="22"/>
        </w:rPr>
      </w:pPr>
    </w:p>
    <w:p w14:paraId="5A8DE01D" w14:textId="3C9AD50E" w:rsidR="70F0445E" w:rsidRDefault="70F0445E" w:rsidP="70F0445E">
      <w:pPr>
        <w:jc w:val="both"/>
        <w:rPr>
          <w:rFonts w:eastAsia="-webkit-standard" w:cs="-webkit-standard"/>
        </w:rPr>
      </w:pPr>
    </w:p>
    <w:p w14:paraId="7A8F4A5B" w14:textId="460BB0BD" w:rsidR="1851B6DD" w:rsidRDefault="1851B6DD" w:rsidP="1851B6DD">
      <w:pPr>
        <w:jc w:val="center"/>
        <w:rPr>
          <w:rFonts w:eastAsia="-webkit-standard" w:cs="-webkit-standard"/>
          <w:b/>
          <w:bCs/>
        </w:rPr>
      </w:pPr>
    </w:p>
    <w:p w14:paraId="0F33BD0F" w14:textId="2352CA45" w:rsidR="336EBC96" w:rsidRPr="00944764" w:rsidRDefault="00944764" w:rsidP="00944764">
      <w:pPr>
        <w:jc w:val="center"/>
        <w:rPr>
          <w:rFonts w:eastAsia="-webkit-standard" w:cs="-webkit-standard"/>
          <w:b/>
          <w:bCs/>
        </w:rPr>
      </w:pPr>
      <w:r w:rsidRPr="00944764">
        <w:rPr>
          <w:rFonts w:eastAsia="-webkit-standard" w:cs="-webkit-standard"/>
          <w:b/>
          <w:bCs/>
        </w:rPr>
        <w:t>TABLA DE CONTENIDO</w:t>
      </w:r>
    </w:p>
    <w:p w14:paraId="0A8FC398" w14:textId="12E7AC4F" w:rsidR="336EBC96" w:rsidRPr="0094003A" w:rsidRDefault="336EBC96" w:rsidP="336EBC96">
      <w:pPr>
        <w:jc w:val="both"/>
        <w:rPr>
          <w:rFonts w:eastAsia="-webkit-standard" w:cs="-webkit-standard"/>
          <w:sz w:val="22"/>
          <w:szCs w:val="22"/>
        </w:rPr>
      </w:pPr>
    </w:p>
    <w:sdt>
      <w:sdtPr>
        <w:rPr>
          <w:sz w:val="22"/>
          <w:szCs w:val="22"/>
        </w:rPr>
        <w:id w:val="2081214286"/>
        <w:docPartObj>
          <w:docPartGallery w:val="Table of Contents"/>
          <w:docPartUnique/>
        </w:docPartObj>
      </w:sdtPr>
      <w:sdtEndPr>
        <w:rPr>
          <w:sz w:val="12"/>
          <w:szCs w:val="12"/>
        </w:rPr>
      </w:sdtEndPr>
      <w:sdtContent>
        <w:p w14:paraId="50293502" w14:textId="6BAAC0BE" w:rsidR="003333FA" w:rsidRPr="003333FA" w:rsidRDefault="336EBC96">
          <w:pPr>
            <w:pStyle w:val="TDC1"/>
            <w:tabs>
              <w:tab w:val="right" w:leader="dot" w:pos="9016"/>
            </w:tabs>
            <w:rPr>
              <w:rFonts w:eastAsiaTheme="minorEastAsia"/>
              <w:noProof/>
              <w:kern w:val="2"/>
              <w:sz w:val="22"/>
              <w:szCs w:val="22"/>
              <w:lang w:val="es-CO" w:eastAsia="es-CO"/>
              <w14:ligatures w14:val="standardContextual"/>
            </w:rPr>
          </w:pPr>
          <w:r w:rsidRPr="003333FA">
            <w:rPr>
              <w:sz w:val="12"/>
              <w:szCs w:val="12"/>
            </w:rPr>
            <w:fldChar w:fldCharType="begin"/>
          </w:r>
          <w:r w:rsidRPr="003333FA">
            <w:rPr>
              <w:sz w:val="12"/>
              <w:szCs w:val="12"/>
            </w:rPr>
            <w:instrText>TOC \o \z \u \h</w:instrText>
          </w:r>
          <w:r w:rsidRPr="003333FA">
            <w:rPr>
              <w:sz w:val="12"/>
              <w:szCs w:val="12"/>
            </w:rPr>
            <w:fldChar w:fldCharType="separate"/>
          </w:r>
          <w:hyperlink w:anchor="_Toc233023681" w:history="1">
            <w:r w:rsidR="003333FA" w:rsidRPr="003333FA">
              <w:rPr>
                <w:rStyle w:val="Hipervnculo"/>
                <w:b/>
                <w:bCs/>
                <w:noProof/>
                <w:sz w:val="22"/>
                <w:szCs w:val="22"/>
              </w:rPr>
              <w:t>1. INTRODUCCIÓN</w:t>
            </w:r>
            <w:r w:rsidR="003333FA" w:rsidRPr="003333FA">
              <w:rPr>
                <w:noProof/>
                <w:webHidden/>
                <w:sz w:val="22"/>
                <w:szCs w:val="22"/>
              </w:rPr>
              <w:tab/>
            </w:r>
            <w:r w:rsidR="003333FA" w:rsidRPr="003333FA">
              <w:rPr>
                <w:noProof/>
                <w:webHidden/>
                <w:sz w:val="22"/>
                <w:szCs w:val="22"/>
              </w:rPr>
              <w:fldChar w:fldCharType="begin"/>
            </w:r>
            <w:r w:rsidR="003333FA" w:rsidRPr="003333FA">
              <w:rPr>
                <w:noProof/>
                <w:webHidden/>
                <w:sz w:val="22"/>
                <w:szCs w:val="22"/>
              </w:rPr>
              <w:instrText xml:space="preserve"> PAGEREF _Toc233023681 \h </w:instrText>
            </w:r>
            <w:r w:rsidR="003333FA" w:rsidRPr="003333FA">
              <w:rPr>
                <w:noProof/>
                <w:webHidden/>
                <w:sz w:val="22"/>
                <w:szCs w:val="22"/>
              </w:rPr>
            </w:r>
            <w:r w:rsidR="003333FA" w:rsidRPr="003333FA">
              <w:rPr>
                <w:noProof/>
                <w:webHidden/>
                <w:sz w:val="22"/>
                <w:szCs w:val="22"/>
              </w:rPr>
              <w:fldChar w:fldCharType="separate"/>
            </w:r>
            <w:r w:rsidR="003333FA" w:rsidRPr="003333FA">
              <w:rPr>
                <w:noProof/>
                <w:webHidden/>
                <w:sz w:val="22"/>
                <w:szCs w:val="22"/>
              </w:rPr>
              <w:t>3</w:t>
            </w:r>
            <w:r w:rsidR="003333FA" w:rsidRPr="003333FA">
              <w:rPr>
                <w:noProof/>
                <w:webHidden/>
                <w:sz w:val="22"/>
                <w:szCs w:val="22"/>
              </w:rPr>
              <w:fldChar w:fldCharType="end"/>
            </w:r>
          </w:hyperlink>
        </w:p>
        <w:p w14:paraId="57E37B92" w14:textId="75F96556" w:rsidR="003333FA" w:rsidRPr="003333FA" w:rsidRDefault="003333FA">
          <w:pPr>
            <w:pStyle w:val="TDC1"/>
            <w:tabs>
              <w:tab w:val="right" w:leader="dot" w:pos="9016"/>
            </w:tabs>
            <w:rPr>
              <w:rFonts w:eastAsiaTheme="minorEastAsia"/>
              <w:noProof/>
              <w:kern w:val="2"/>
              <w:sz w:val="22"/>
              <w:szCs w:val="22"/>
              <w:lang w:val="es-CO" w:eastAsia="es-CO"/>
              <w14:ligatures w14:val="standardContextual"/>
            </w:rPr>
          </w:pPr>
          <w:hyperlink w:anchor="_Toc233023682" w:history="1">
            <w:r w:rsidRPr="003333FA">
              <w:rPr>
                <w:rStyle w:val="Hipervnculo"/>
                <w:b/>
                <w:bCs/>
                <w:noProof/>
                <w:sz w:val="22"/>
                <w:szCs w:val="22"/>
              </w:rPr>
              <w:t>2. GENERALIDADES DEL PROGRAMA COLOMBIA SOLAR</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_Toc233023682 \h </w:instrText>
            </w:r>
            <w:r w:rsidRPr="003333FA">
              <w:rPr>
                <w:noProof/>
                <w:webHidden/>
                <w:sz w:val="22"/>
                <w:szCs w:val="22"/>
              </w:rPr>
            </w:r>
            <w:r w:rsidRPr="003333FA">
              <w:rPr>
                <w:noProof/>
                <w:webHidden/>
                <w:sz w:val="22"/>
                <w:szCs w:val="22"/>
              </w:rPr>
              <w:fldChar w:fldCharType="separate"/>
            </w:r>
            <w:r w:rsidRPr="003333FA">
              <w:rPr>
                <w:noProof/>
                <w:webHidden/>
                <w:sz w:val="22"/>
                <w:szCs w:val="22"/>
              </w:rPr>
              <w:t>4</w:t>
            </w:r>
            <w:r w:rsidRPr="003333FA">
              <w:rPr>
                <w:noProof/>
                <w:webHidden/>
                <w:sz w:val="22"/>
                <w:szCs w:val="22"/>
              </w:rPr>
              <w:fldChar w:fldCharType="end"/>
            </w:r>
          </w:hyperlink>
        </w:p>
        <w:p w14:paraId="4D0874D1" w14:textId="667ECC66" w:rsidR="003333FA" w:rsidRPr="003333FA" w:rsidRDefault="003333FA">
          <w:pPr>
            <w:pStyle w:val="TDC1"/>
            <w:tabs>
              <w:tab w:val="right" w:leader="dot" w:pos="9016"/>
            </w:tabs>
            <w:rPr>
              <w:rFonts w:eastAsiaTheme="minorEastAsia"/>
              <w:noProof/>
              <w:kern w:val="2"/>
              <w:sz w:val="22"/>
              <w:szCs w:val="22"/>
              <w:lang w:val="es-CO" w:eastAsia="es-CO"/>
              <w14:ligatures w14:val="standardContextual"/>
            </w:rPr>
          </w:pPr>
          <w:hyperlink w:anchor="_Toc233023683" w:history="1">
            <w:r w:rsidRPr="003333FA">
              <w:rPr>
                <w:rStyle w:val="Hipervnculo"/>
                <w:b/>
                <w:bCs/>
                <w:noProof/>
                <w:sz w:val="22"/>
                <w:szCs w:val="22"/>
              </w:rPr>
              <w:t>3. SEGUIMIENTO AL PROYECTO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_Toc233023683 \h </w:instrText>
            </w:r>
            <w:r w:rsidRPr="003333FA">
              <w:rPr>
                <w:noProof/>
                <w:webHidden/>
                <w:sz w:val="22"/>
                <w:szCs w:val="22"/>
              </w:rPr>
            </w:r>
            <w:r w:rsidRPr="003333FA">
              <w:rPr>
                <w:noProof/>
                <w:webHidden/>
                <w:sz w:val="22"/>
                <w:szCs w:val="22"/>
              </w:rPr>
              <w:fldChar w:fldCharType="separate"/>
            </w:r>
            <w:r w:rsidRPr="003333FA">
              <w:rPr>
                <w:noProof/>
                <w:webHidden/>
                <w:sz w:val="22"/>
                <w:szCs w:val="22"/>
              </w:rPr>
              <w:t>5</w:t>
            </w:r>
            <w:r w:rsidRPr="003333FA">
              <w:rPr>
                <w:noProof/>
                <w:webHidden/>
                <w:sz w:val="22"/>
                <w:szCs w:val="22"/>
              </w:rPr>
              <w:fldChar w:fldCharType="end"/>
            </w:r>
          </w:hyperlink>
        </w:p>
        <w:p w14:paraId="58765B87" w14:textId="6D7513A7"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4" w:history="1">
            <w:r w:rsidRPr="003333FA">
              <w:rPr>
                <w:rStyle w:val="Hipervnculo"/>
                <w:b/>
                <w:noProof/>
                <w:sz w:val="22"/>
                <w:szCs w:val="22"/>
              </w:rPr>
              <w:t>3.1. Frente Administrativo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_Toc233023684 \h </w:instrText>
            </w:r>
            <w:r w:rsidRPr="003333FA">
              <w:rPr>
                <w:noProof/>
                <w:webHidden/>
                <w:sz w:val="22"/>
                <w:szCs w:val="22"/>
              </w:rPr>
            </w:r>
            <w:r w:rsidRPr="003333FA">
              <w:rPr>
                <w:noProof/>
                <w:webHidden/>
                <w:sz w:val="22"/>
                <w:szCs w:val="22"/>
              </w:rPr>
              <w:fldChar w:fldCharType="separate"/>
            </w:r>
            <w:r w:rsidRPr="003333FA">
              <w:rPr>
                <w:noProof/>
                <w:webHidden/>
                <w:sz w:val="22"/>
                <w:szCs w:val="22"/>
              </w:rPr>
              <w:t>6</w:t>
            </w:r>
            <w:r w:rsidRPr="003333FA">
              <w:rPr>
                <w:noProof/>
                <w:webHidden/>
                <w:sz w:val="22"/>
                <w:szCs w:val="22"/>
              </w:rPr>
              <w:fldChar w:fldCharType="end"/>
            </w:r>
          </w:hyperlink>
        </w:p>
        <w:p w14:paraId="4FA22F92" w14:textId="2637BF67"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5" w:history="1">
            <w:r w:rsidRPr="003333FA">
              <w:rPr>
                <w:rStyle w:val="Hipervnculo"/>
                <w:b/>
                <w:noProof/>
                <w:sz w:val="22"/>
                <w:szCs w:val="22"/>
              </w:rPr>
              <w:t>3.2. Frente Jurídico de Derechos de Petición</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_Toc233023685 \h </w:instrText>
            </w:r>
            <w:r w:rsidRPr="003333FA">
              <w:rPr>
                <w:noProof/>
                <w:webHidden/>
                <w:sz w:val="22"/>
                <w:szCs w:val="22"/>
              </w:rPr>
            </w:r>
            <w:r w:rsidRPr="003333FA">
              <w:rPr>
                <w:noProof/>
                <w:webHidden/>
                <w:sz w:val="22"/>
                <w:szCs w:val="22"/>
              </w:rPr>
              <w:fldChar w:fldCharType="separate"/>
            </w:r>
            <w:r w:rsidRPr="003333FA">
              <w:rPr>
                <w:noProof/>
                <w:webHidden/>
                <w:sz w:val="22"/>
                <w:szCs w:val="22"/>
              </w:rPr>
              <w:t>6</w:t>
            </w:r>
            <w:r w:rsidRPr="003333FA">
              <w:rPr>
                <w:noProof/>
                <w:webHidden/>
                <w:sz w:val="22"/>
                <w:szCs w:val="22"/>
              </w:rPr>
              <w:fldChar w:fldCharType="end"/>
            </w:r>
          </w:hyperlink>
        </w:p>
        <w:p w14:paraId="1C07D29A" w14:textId="5099A18E"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6" w:history="1">
            <w:r w:rsidRPr="003333FA">
              <w:rPr>
                <w:rStyle w:val="Hipervnculo"/>
                <w:b/>
                <w:noProof/>
                <w:sz w:val="22"/>
                <w:szCs w:val="22"/>
              </w:rPr>
              <w:t>3.3. Frente Regulatorio y Normativo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_Toc233023686 \h </w:instrText>
            </w:r>
            <w:r w:rsidRPr="003333FA">
              <w:rPr>
                <w:noProof/>
                <w:webHidden/>
                <w:sz w:val="22"/>
                <w:szCs w:val="22"/>
              </w:rPr>
            </w:r>
            <w:r w:rsidRPr="003333FA">
              <w:rPr>
                <w:noProof/>
                <w:webHidden/>
                <w:sz w:val="22"/>
                <w:szCs w:val="22"/>
              </w:rPr>
              <w:fldChar w:fldCharType="separate"/>
            </w:r>
            <w:r w:rsidRPr="003333FA">
              <w:rPr>
                <w:noProof/>
                <w:webHidden/>
                <w:sz w:val="22"/>
                <w:szCs w:val="22"/>
              </w:rPr>
              <w:t>6</w:t>
            </w:r>
            <w:r w:rsidRPr="003333FA">
              <w:rPr>
                <w:noProof/>
                <w:webHidden/>
                <w:sz w:val="22"/>
                <w:szCs w:val="22"/>
              </w:rPr>
              <w:fldChar w:fldCharType="end"/>
            </w:r>
          </w:hyperlink>
        </w:p>
        <w:p w14:paraId="73271A43" w14:textId="5C0D9FF3"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7" w:history="1">
            <w:r w:rsidRPr="003333FA">
              <w:rPr>
                <w:rStyle w:val="Hipervnculo"/>
                <w:b/>
                <w:noProof/>
                <w:sz w:val="22"/>
                <w:szCs w:val="22"/>
              </w:rPr>
              <w:t>3.4. Frente Financiero – Proyecto de Inversión</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_Toc233023687 \h </w:instrText>
            </w:r>
            <w:r w:rsidRPr="003333FA">
              <w:rPr>
                <w:noProof/>
                <w:webHidden/>
                <w:sz w:val="22"/>
                <w:szCs w:val="22"/>
              </w:rPr>
            </w:r>
            <w:r w:rsidRPr="003333FA">
              <w:rPr>
                <w:noProof/>
                <w:webHidden/>
                <w:sz w:val="22"/>
                <w:szCs w:val="22"/>
              </w:rPr>
              <w:fldChar w:fldCharType="separate"/>
            </w:r>
            <w:r w:rsidRPr="003333FA">
              <w:rPr>
                <w:noProof/>
                <w:webHidden/>
                <w:sz w:val="22"/>
                <w:szCs w:val="22"/>
              </w:rPr>
              <w:t>6</w:t>
            </w:r>
            <w:r w:rsidRPr="003333FA">
              <w:rPr>
                <w:noProof/>
                <w:webHidden/>
                <w:sz w:val="22"/>
                <w:szCs w:val="22"/>
              </w:rPr>
              <w:fldChar w:fldCharType="end"/>
            </w:r>
          </w:hyperlink>
        </w:p>
        <w:p w14:paraId="3E275EA5" w14:textId="41B3C09D"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8" w:history="1">
            <w:r w:rsidRPr="003333FA">
              <w:rPr>
                <w:rStyle w:val="Hipervnculo"/>
                <w:b/>
                <w:noProof/>
                <w:sz w:val="22"/>
                <w:szCs w:val="22"/>
              </w:rPr>
              <w:t>3.5. Frente Metodológico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_Toc233023688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0766C5C6" w14:textId="698C9747"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89" w:history="1">
            <w:r w:rsidRPr="003333FA">
              <w:rPr>
                <w:rStyle w:val="Hipervnculo"/>
                <w:b/>
                <w:noProof/>
                <w:sz w:val="22"/>
                <w:szCs w:val="22"/>
              </w:rPr>
              <w:t>3.6. Frente Social y Relacionamiento Territorial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_Toc233023689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0CBDEAA4" w14:textId="4452626D"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0" w:history="1">
            <w:r w:rsidRPr="003333FA">
              <w:rPr>
                <w:rStyle w:val="Hipervnculo"/>
                <w:b/>
                <w:noProof/>
                <w:sz w:val="22"/>
                <w:szCs w:val="22"/>
              </w:rPr>
              <w:t>3.7. Frente de Indicadores Colombia Solar</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_Toc233023690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6CDF4169" w14:textId="6055ACDD"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1" w:history="1">
            <w:r w:rsidRPr="003333FA">
              <w:rPr>
                <w:rStyle w:val="Hipervnculo"/>
                <w:b/>
                <w:noProof/>
                <w:sz w:val="22"/>
                <w:szCs w:val="22"/>
              </w:rPr>
              <w:t>3.8. Frente de Contingencias Operativas</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_Toc233023691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4BDD3CF3" w14:textId="086F77C9"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2" w:history="1">
            <w:r w:rsidRPr="003333FA">
              <w:rPr>
                <w:rStyle w:val="Hipervnculo"/>
                <w:b/>
                <w:noProof/>
                <w:sz w:val="22"/>
                <w:szCs w:val="22"/>
              </w:rPr>
              <w:t>3.9. Frente Técnico General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_Toc233023692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01780E06" w14:textId="0B221151"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3" w:history="1">
            <w:r w:rsidRPr="003333FA">
              <w:rPr>
                <w:rStyle w:val="Hipervnculo"/>
                <w:b/>
                <w:noProof/>
                <w:sz w:val="22"/>
                <w:szCs w:val="22"/>
              </w:rPr>
              <w:t>3.10. Frente Jurídico Contractual FENOGE y GECELCA</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_Toc233023693 \h </w:instrText>
            </w:r>
            <w:r w:rsidRPr="003333FA">
              <w:rPr>
                <w:noProof/>
                <w:webHidden/>
                <w:sz w:val="22"/>
                <w:szCs w:val="22"/>
              </w:rPr>
            </w:r>
            <w:r w:rsidRPr="003333FA">
              <w:rPr>
                <w:noProof/>
                <w:webHidden/>
                <w:sz w:val="22"/>
                <w:szCs w:val="22"/>
              </w:rPr>
              <w:fldChar w:fldCharType="separate"/>
            </w:r>
            <w:r w:rsidRPr="003333FA">
              <w:rPr>
                <w:noProof/>
                <w:webHidden/>
                <w:sz w:val="22"/>
                <w:szCs w:val="22"/>
              </w:rPr>
              <w:t>7</w:t>
            </w:r>
            <w:r w:rsidRPr="003333FA">
              <w:rPr>
                <w:noProof/>
                <w:webHidden/>
                <w:sz w:val="22"/>
                <w:szCs w:val="22"/>
              </w:rPr>
              <w:fldChar w:fldCharType="end"/>
            </w:r>
          </w:hyperlink>
        </w:p>
        <w:p w14:paraId="75BEA430" w14:textId="3739DB99"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4" w:history="1">
            <w:r w:rsidRPr="003333FA">
              <w:rPr>
                <w:rStyle w:val="Hipervnculo"/>
                <w:b/>
                <w:noProof/>
                <w:sz w:val="22"/>
                <w:szCs w:val="22"/>
              </w:rPr>
              <w:t>3.11. Frente PMO – Seguimiento Técnico a Contratos FENOGE y GECELCA</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_Toc233023694 \h </w:instrText>
            </w:r>
            <w:r w:rsidRPr="003333FA">
              <w:rPr>
                <w:noProof/>
                <w:webHidden/>
                <w:sz w:val="22"/>
                <w:szCs w:val="22"/>
              </w:rPr>
            </w:r>
            <w:r w:rsidRPr="003333FA">
              <w:rPr>
                <w:noProof/>
                <w:webHidden/>
                <w:sz w:val="22"/>
                <w:szCs w:val="22"/>
              </w:rPr>
              <w:fldChar w:fldCharType="separate"/>
            </w:r>
            <w:r w:rsidRPr="003333FA">
              <w:rPr>
                <w:noProof/>
                <w:webHidden/>
                <w:sz w:val="22"/>
                <w:szCs w:val="22"/>
              </w:rPr>
              <w:t>8</w:t>
            </w:r>
            <w:r w:rsidRPr="003333FA">
              <w:rPr>
                <w:noProof/>
                <w:webHidden/>
                <w:sz w:val="22"/>
                <w:szCs w:val="22"/>
              </w:rPr>
              <w:fldChar w:fldCharType="end"/>
            </w:r>
          </w:hyperlink>
        </w:p>
        <w:p w14:paraId="2DADC57E" w14:textId="3DF06859"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5" w:history="1">
            <w:r w:rsidRPr="003333FA">
              <w:rPr>
                <w:rStyle w:val="Hipervnculo"/>
                <w:b/>
                <w:noProof/>
                <w:sz w:val="22"/>
                <w:szCs w:val="22"/>
              </w:rPr>
              <w:t>3.12. Frente Ambiental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_Toc233023695 \h </w:instrText>
            </w:r>
            <w:r w:rsidRPr="003333FA">
              <w:rPr>
                <w:noProof/>
                <w:webHidden/>
                <w:sz w:val="22"/>
                <w:szCs w:val="22"/>
              </w:rPr>
            </w:r>
            <w:r w:rsidRPr="003333FA">
              <w:rPr>
                <w:noProof/>
                <w:webHidden/>
                <w:sz w:val="22"/>
                <w:szCs w:val="22"/>
              </w:rPr>
              <w:fldChar w:fldCharType="separate"/>
            </w:r>
            <w:r w:rsidRPr="003333FA">
              <w:rPr>
                <w:noProof/>
                <w:webHidden/>
                <w:sz w:val="22"/>
                <w:szCs w:val="22"/>
              </w:rPr>
              <w:t>8</w:t>
            </w:r>
            <w:r w:rsidRPr="003333FA">
              <w:rPr>
                <w:noProof/>
                <w:webHidden/>
                <w:sz w:val="22"/>
                <w:szCs w:val="22"/>
              </w:rPr>
              <w:fldChar w:fldCharType="end"/>
            </w:r>
          </w:hyperlink>
        </w:p>
        <w:p w14:paraId="7E7E421E" w14:textId="0C466CE9" w:rsidR="003333FA" w:rsidRPr="003333FA" w:rsidRDefault="003333FA">
          <w:pPr>
            <w:pStyle w:val="TDC1"/>
            <w:tabs>
              <w:tab w:val="right" w:leader="dot" w:pos="9016"/>
            </w:tabs>
            <w:rPr>
              <w:rFonts w:eastAsiaTheme="minorEastAsia"/>
              <w:noProof/>
              <w:kern w:val="2"/>
              <w:sz w:val="22"/>
              <w:szCs w:val="22"/>
              <w:lang w:val="es-CO" w:eastAsia="es-CO"/>
              <w14:ligatures w14:val="standardContextual"/>
            </w:rPr>
          </w:pPr>
          <w:hyperlink w:anchor="_Toc233023696" w:history="1">
            <w:r w:rsidRPr="003333FA">
              <w:rPr>
                <w:rStyle w:val="Hipervnculo"/>
                <w:b/>
                <w:bCs/>
                <w:noProof/>
                <w:sz w:val="22"/>
                <w:szCs w:val="22"/>
              </w:rPr>
              <w:t>4. AVANCES POR FRENTE DE TRABAJO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_Toc233023696 \h </w:instrText>
            </w:r>
            <w:r w:rsidRPr="003333FA">
              <w:rPr>
                <w:noProof/>
                <w:webHidden/>
                <w:sz w:val="22"/>
                <w:szCs w:val="22"/>
              </w:rPr>
            </w:r>
            <w:r w:rsidRPr="003333FA">
              <w:rPr>
                <w:noProof/>
                <w:webHidden/>
                <w:sz w:val="22"/>
                <w:szCs w:val="22"/>
              </w:rPr>
              <w:fldChar w:fldCharType="separate"/>
            </w:r>
            <w:r w:rsidRPr="003333FA">
              <w:rPr>
                <w:noProof/>
                <w:webHidden/>
                <w:sz w:val="22"/>
                <w:szCs w:val="22"/>
              </w:rPr>
              <w:t>8</w:t>
            </w:r>
            <w:r w:rsidRPr="003333FA">
              <w:rPr>
                <w:noProof/>
                <w:webHidden/>
                <w:sz w:val="22"/>
                <w:szCs w:val="22"/>
              </w:rPr>
              <w:fldChar w:fldCharType="end"/>
            </w:r>
          </w:hyperlink>
        </w:p>
        <w:p w14:paraId="4CBB86D0" w14:textId="43C432D2"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7" w:history="1">
            <w:r w:rsidRPr="003333FA">
              <w:rPr>
                <w:rStyle w:val="Hipervnculo"/>
                <w:b/>
                <w:bCs/>
                <w:noProof/>
                <w:sz w:val="22"/>
                <w:szCs w:val="22"/>
              </w:rPr>
              <w:t>4.1. Frente Administrativo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_Toc233023697 \h </w:instrText>
            </w:r>
            <w:r w:rsidRPr="003333FA">
              <w:rPr>
                <w:noProof/>
                <w:webHidden/>
                <w:sz w:val="22"/>
                <w:szCs w:val="22"/>
              </w:rPr>
            </w:r>
            <w:r w:rsidRPr="003333FA">
              <w:rPr>
                <w:noProof/>
                <w:webHidden/>
                <w:sz w:val="22"/>
                <w:szCs w:val="22"/>
              </w:rPr>
              <w:fldChar w:fldCharType="separate"/>
            </w:r>
            <w:r w:rsidRPr="003333FA">
              <w:rPr>
                <w:noProof/>
                <w:webHidden/>
                <w:sz w:val="22"/>
                <w:szCs w:val="22"/>
              </w:rPr>
              <w:t>9</w:t>
            </w:r>
            <w:r w:rsidRPr="003333FA">
              <w:rPr>
                <w:noProof/>
                <w:webHidden/>
                <w:sz w:val="22"/>
                <w:szCs w:val="22"/>
              </w:rPr>
              <w:fldChar w:fldCharType="end"/>
            </w:r>
          </w:hyperlink>
        </w:p>
        <w:p w14:paraId="512FB49A" w14:textId="681C48E0"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8" w:history="1">
            <w:r w:rsidRPr="003333FA">
              <w:rPr>
                <w:rStyle w:val="Hipervnculo"/>
                <w:b/>
                <w:bCs/>
                <w:noProof/>
                <w:sz w:val="22"/>
                <w:szCs w:val="22"/>
              </w:rPr>
              <w:t>4.2. Frente Jurídico de Derechos de Petición</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_Toc233023698 \h </w:instrText>
            </w:r>
            <w:r w:rsidRPr="003333FA">
              <w:rPr>
                <w:noProof/>
                <w:webHidden/>
                <w:sz w:val="22"/>
                <w:szCs w:val="22"/>
              </w:rPr>
            </w:r>
            <w:r w:rsidRPr="003333FA">
              <w:rPr>
                <w:noProof/>
                <w:webHidden/>
                <w:sz w:val="22"/>
                <w:szCs w:val="22"/>
              </w:rPr>
              <w:fldChar w:fldCharType="separate"/>
            </w:r>
            <w:r w:rsidRPr="003333FA">
              <w:rPr>
                <w:noProof/>
                <w:webHidden/>
                <w:sz w:val="22"/>
                <w:szCs w:val="22"/>
              </w:rPr>
              <w:t>9</w:t>
            </w:r>
            <w:r w:rsidRPr="003333FA">
              <w:rPr>
                <w:noProof/>
                <w:webHidden/>
                <w:sz w:val="22"/>
                <w:szCs w:val="22"/>
              </w:rPr>
              <w:fldChar w:fldCharType="end"/>
            </w:r>
          </w:hyperlink>
        </w:p>
        <w:p w14:paraId="2E304606" w14:textId="3B9158B5"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699" w:history="1">
            <w:r w:rsidRPr="003333FA">
              <w:rPr>
                <w:rStyle w:val="Hipervnculo"/>
                <w:b/>
                <w:bCs/>
                <w:noProof/>
                <w:sz w:val="22"/>
                <w:szCs w:val="22"/>
              </w:rPr>
              <w:t>4.3. Frente Regulatorio y Normativo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_Toc233023699 \h </w:instrText>
            </w:r>
            <w:r w:rsidRPr="003333FA">
              <w:rPr>
                <w:noProof/>
                <w:webHidden/>
                <w:sz w:val="22"/>
                <w:szCs w:val="22"/>
              </w:rPr>
            </w:r>
            <w:r w:rsidRPr="003333FA">
              <w:rPr>
                <w:noProof/>
                <w:webHidden/>
                <w:sz w:val="22"/>
                <w:szCs w:val="22"/>
              </w:rPr>
              <w:fldChar w:fldCharType="separate"/>
            </w:r>
            <w:r w:rsidRPr="003333FA">
              <w:rPr>
                <w:noProof/>
                <w:webHidden/>
                <w:sz w:val="22"/>
                <w:szCs w:val="22"/>
              </w:rPr>
              <w:t>9</w:t>
            </w:r>
            <w:r w:rsidRPr="003333FA">
              <w:rPr>
                <w:noProof/>
                <w:webHidden/>
                <w:sz w:val="22"/>
                <w:szCs w:val="22"/>
              </w:rPr>
              <w:fldChar w:fldCharType="end"/>
            </w:r>
          </w:hyperlink>
        </w:p>
        <w:p w14:paraId="0CFB1200" w14:textId="200624CD"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0" w:history="1">
            <w:r w:rsidRPr="003333FA">
              <w:rPr>
                <w:rStyle w:val="Hipervnculo"/>
                <w:b/>
                <w:bCs/>
                <w:noProof/>
                <w:sz w:val="22"/>
                <w:szCs w:val="22"/>
              </w:rPr>
              <w:t>4.4. Frente Financiero – Proyecto de Inversión</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_Toc233023700 \h </w:instrText>
            </w:r>
            <w:r w:rsidRPr="003333FA">
              <w:rPr>
                <w:noProof/>
                <w:webHidden/>
                <w:sz w:val="22"/>
                <w:szCs w:val="22"/>
              </w:rPr>
            </w:r>
            <w:r w:rsidRPr="003333FA">
              <w:rPr>
                <w:noProof/>
                <w:webHidden/>
                <w:sz w:val="22"/>
                <w:szCs w:val="22"/>
              </w:rPr>
              <w:fldChar w:fldCharType="separate"/>
            </w:r>
            <w:r w:rsidRPr="003333FA">
              <w:rPr>
                <w:noProof/>
                <w:webHidden/>
                <w:sz w:val="22"/>
                <w:szCs w:val="22"/>
              </w:rPr>
              <w:t>11</w:t>
            </w:r>
            <w:r w:rsidRPr="003333FA">
              <w:rPr>
                <w:noProof/>
                <w:webHidden/>
                <w:sz w:val="22"/>
                <w:szCs w:val="22"/>
              </w:rPr>
              <w:fldChar w:fldCharType="end"/>
            </w:r>
          </w:hyperlink>
        </w:p>
        <w:p w14:paraId="16EE37DC" w14:textId="790DD31B"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1" w:history="1">
            <w:r w:rsidRPr="003333FA">
              <w:rPr>
                <w:rStyle w:val="Hipervnculo"/>
                <w:b/>
                <w:noProof/>
                <w:sz w:val="22"/>
                <w:szCs w:val="22"/>
              </w:rPr>
              <w:t>4.5. Frente Metodológico</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_Toc233023701 \h </w:instrText>
            </w:r>
            <w:r w:rsidRPr="003333FA">
              <w:rPr>
                <w:noProof/>
                <w:webHidden/>
                <w:sz w:val="22"/>
                <w:szCs w:val="22"/>
              </w:rPr>
            </w:r>
            <w:r w:rsidRPr="003333FA">
              <w:rPr>
                <w:noProof/>
                <w:webHidden/>
                <w:sz w:val="22"/>
                <w:szCs w:val="22"/>
              </w:rPr>
              <w:fldChar w:fldCharType="separate"/>
            </w:r>
            <w:r w:rsidRPr="003333FA">
              <w:rPr>
                <w:noProof/>
                <w:webHidden/>
                <w:sz w:val="22"/>
                <w:szCs w:val="22"/>
              </w:rPr>
              <w:t>15</w:t>
            </w:r>
            <w:r w:rsidRPr="003333FA">
              <w:rPr>
                <w:noProof/>
                <w:webHidden/>
                <w:sz w:val="22"/>
                <w:szCs w:val="22"/>
              </w:rPr>
              <w:fldChar w:fldCharType="end"/>
            </w:r>
          </w:hyperlink>
        </w:p>
        <w:p w14:paraId="4BE1ACB1" w14:textId="2332C816"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2" w:history="1">
            <w:r w:rsidRPr="003333FA">
              <w:rPr>
                <w:rStyle w:val="Hipervnculo"/>
                <w:b/>
                <w:noProof/>
                <w:sz w:val="22"/>
                <w:szCs w:val="22"/>
              </w:rPr>
              <w:t>4.6. Frente Social y Relacionamiento Territorial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_Toc233023702 \h </w:instrText>
            </w:r>
            <w:r w:rsidRPr="003333FA">
              <w:rPr>
                <w:noProof/>
                <w:webHidden/>
                <w:sz w:val="22"/>
                <w:szCs w:val="22"/>
              </w:rPr>
            </w:r>
            <w:r w:rsidRPr="003333FA">
              <w:rPr>
                <w:noProof/>
                <w:webHidden/>
                <w:sz w:val="22"/>
                <w:szCs w:val="22"/>
              </w:rPr>
              <w:fldChar w:fldCharType="separate"/>
            </w:r>
            <w:r w:rsidRPr="003333FA">
              <w:rPr>
                <w:noProof/>
                <w:webHidden/>
                <w:sz w:val="22"/>
                <w:szCs w:val="22"/>
              </w:rPr>
              <w:t>16</w:t>
            </w:r>
            <w:r w:rsidRPr="003333FA">
              <w:rPr>
                <w:noProof/>
                <w:webHidden/>
                <w:sz w:val="22"/>
                <w:szCs w:val="22"/>
              </w:rPr>
              <w:fldChar w:fldCharType="end"/>
            </w:r>
          </w:hyperlink>
        </w:p>
        <w:p w14:paraId="2BAADDDD" w14:textId="2B437641"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3" w:history="1">
            <w:r w:rsidRPr="003333FA">
              <w:rPr>
                <w:rStyle w:val="Hipervnculo"/>
                <w:b/>
                <w:noProof/>
                <w:sz w:val="22"/>
                <w:szCs w:val="22"/>
              </w:rPr>
              <w:t>4.7. Frente de Indicadores Colombia Solar</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_Toc233023703 \h </w:instrText>
            </w:r>
            <w:r w:rsidRPr="003333FA">
              <w:rPr>
                <w:noProof/>
                <w:webHidden/>
                <w:sz w:val="22"/>
                <w:szCs w:val="22"/>
              </w:rPr>
            </w:r>
            <w:r w:rsidRPr="003333FA">
              <w:rPr>
                <w:noProof/>
                <w:webHidden/>
                <w:sz w:val="22"/>
                <w:szCs w:val="22"/>
              </w:rPr>
              <w:fldChar w:fldCharType="separate"/>
            </w:r>
            <w:r w:rsidRPr="003333FA">
              <w:rPr>
                <w:noProof/>
                <w:webHidden/>
                <w:sz w:val="22"/>
                <w:szCs w:val="22"/>
              </w:rPr>
              <w:t>18</w:t>
            </w:r>
            <w:r w:rsidRPr="003333FA">
              <w:rPr>
                <w:noProof/>
                <w:webHidden/>
                <w:sz w:val="22"/>
                <w:szCs w:val="22"/>
              </w:rPr>
              <w:fldChar w:fldCharType="end"/>
            </w:r>
          </w:hyperlink>
        </w:p>
        <w:p w14:paraId="550E3FC6" w14:textId="1B518625"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4" w:history="1">
            <w:r w:rsidRPr="003333FA">
              <w:rPr>
                <w:rStyle w:val="Hipervnculo"/>
                <w:b/>
                <w:noProof/>
                <w:sz w:val="22"/>
                <w:szCs w:val="22"/>
              </w:rPr>
              <w:t>4.8. Frente de Contingencias Operativas</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_Toc233023704 \h </w:instrText>
            </w:r>
            <w:r w:rsidRPr="003333FA">
              <w:rPr>
                <w:noProof/>
                <w:webHidden/>
                <w:sz w:val="22"/>
                <w:szCs w:val="22"/>
              </w:rPr>
            </w:r>
            <w:r w:rsidRPr="003333FA">
              <w:rPr>
                <w:noProof/>
                <w:webHidden/>
                <w:sz w:val="22"/>
                <w:szCs w:val="22"/>
              </w:rPr>
              <w:fldChar w:fldCharType="separate"/>
            </w:r>
            <w:r w:rsidRPr="003333FA">
              <w:rPr>
                <w:noProof/>
                <w:webHidden/>
                <w:sz w:val="22"/>
                <w:szCs w:val="22"/>
              </w:rPr>
              <w:t>23</w:t>
            </w:r>
            <w:r w:rsidRPr="003333FA">
              <w:rPr>
                <w:noProof/>
                <w:webHidden/>
                <w:sz w:val="22"/>
                <w:szCs w:val="22"/>
              </w:rPr>
              <w:fldChar w:fldCharType="end"/>
            </w:r>
          </w:hyperlink>
        </w:p>
        <w:p w14:paraId="1EB17CA1" w14:textId="45282BB2"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5" w:history="1">
            <w:r w:rsidRPr="003333FA">
              <w:rPr>
                <w:rStyle w:val="Hipervnculo"/>
                <w:b/>
                <w:noProof/>
                <w:sz w:val="22"/>
                <w:szCs w:val="22"/>
              </w:rPr>
              <w:t>4.9. Frente Técnico General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_Toc233023705 \h </w:instrText>
            </w:r>
            <w:r w:rsidRPr="003333FA">
              <w:rPr>
                <w:noProof/>
                <w:webHidden/>
                <w:sz w:val="22"/>
                <w:szCs w:val="22"/>
              </w:rPr>
            </w:r>
            <w:r w:rsidRPr="003333FA">
              <w:rPr>
                <w:noProof/>
                <w:webHidden/>
                <w:sz w:val="22"/>
                <w:szCs w:val="22"/>
              </w:rPr>
              <w:fldChar w:fldCharType="separate"/>
            </w:r>
            <w:r w:rsidRPr="003333FA">
              <w:rPr>
                <w:noProof/>
                <w:webHidden/>
                <w:sz w:val="22"/>
                <w:szCs w:val="22"/>
              </w:rPr>
              <w:t>23</w:t>
            </w:r>
            <w:r w:rsidRPr="003333FA">
              <w:rPr>
                <w:noProof/>
                <w:webHidden/>
                <w:sz w:val="22"/>
                <w:szCs w:val="22"/>
              </w:rPr>
              <w:fldChar w:fldCharType="end"/>
            </w:r>
          </w:hyperlink>
        </w:p>
        <w:p w14:paraId="1A06DCF8" w14:textId="5F46DBEE"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6" w:history="1">
            <w:r w:rsidRPr="003333FA">
              <w:rPr>
                <w:rStyle w:val="Hipervnculo"/>
                <w:b/>
                <w:noProof/>
                <w:sz w:val="22"/>
                <w:szCs w:val="22"/>
              </w:rPr>
              <w:t>4.10. Frente Jurídico Contractual FENOGE y GECELCA</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_Toc233023706 \h </w:instrText>
            </w:r>
            <w:r w:rsidRPr="003333FA">
              <w:rPr>
                <w:noProof/>
                <w:webHidden/>
                <w:sz w:val="22"/>
                <w:szCs w:val="22"/>
              </w:rPr>
            </w:r>
            <w:r w:rsidRPr="003333FA">
              <w:rPr>
                <w:noProof/>
                <w:webHidden/>
                <w:sz w:val="22"/>
                <w:szCs w:val="22"/>
              </w:rPr>
              <w:fldChar w:fldCharType="separate"/>
            </w:r>
            <w:r w:rsidRPr="003333FA">
              <w:rPr>
                <w:noProof/>
                <w:webHidden/>
                <w:sz w:val="22"/>
                <w:szCs w:val="22"/>
              </w:rPr>
              <w:t>24</w:t>
            </w:r>
            <w:r w:rsidRPr="003333FA">
              <w:rPr>
                <w:noProof/>
                <w:webHidden/>
                <w:sz w:val="22"/>
                <w:szCs w:val="22"/>
              </w:rPr>
              <w:fldChar w:fldCharType="end"/>
            </w:r>
          </w:hyperlink>
        </w:p>
        <w:p w14:paraId="1457DD94" w14:textId="3650183A"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7" w:history="1">
            <w:r w:rsidRPr="003333FA">
              <w:rPr>
                <w:rStyle w:val="Hipervnculo"/>
                <w:b/>
                <w:noProof/>
                <w:sz w:val="22"/>
                <w:szCs w:val="22"/>
              </w:rPr>
              <w:t>4.11. Frente PMO – Seguimiento a Contratos FENOGE y GECELCA</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_Toc233023707 \h </w:instrText>
            </w:r>
            <w:r w:rsidRPr="003333FA">
              <w:rPr>
                <w:noProof/>
                <w:webHidden/>
                <w:sz w:val="22"/>
                <w:szCs w:val="22"/>
              </w:rPr>
            </w:r>
            <w:r w:rsidRPr="003333FA">
              <w:rPr>
                <w:noProof/>
                <w:webHidden/>
                <w:sz w:val="22"/>
                <w:szCs w:val="22"/>
              </w:rPr>
              <w:fldChar w:fldCharType="separate"/>
            </w:r>
            <w:r w:rsidRPr="003333FA">
              <w:rPr>
                <w:noProof/>
                <w:webHidden/>
                <w:sz w:val="22"/>
                <w:szCs w:val="22"/>
              </w:rPr>
              <w:t>26</w:t>
            </w:r>
            <w:r w:rsidRPr="003333FA">
              <w:rPr>
                <w:noProof/>
                <w:webHidden/>
                <w:sz w:val="22"/>
                <w:szCs w:val="22"/>
              </w:rPr>
              <w:fldChar w:fldCharType="end"/>
            </w:r>
          </w:hyperlink>
        </w:p>
        <w:p w14:paraId="09DC352F" w14:textId="51AF869C" w:rsidR="003333FA" w:rsidRPr="003333FA" w:rsidRDefault="003333FA">
          <w:pPr>
            <w:pStyle w:val="TDC2"/>
            <w:tabs>
              <w:tab w:val="right" w:leader="dot" w:pos="9016"/>
            </w:tabs>
            <w:rPr>
              <w:rFonts w:eastAsiaTheme="minorEastAsia"/>
              <w:noProof/>
              <w:kern w:val="2"/>
              <w:sz w:val="22"/>
              <w:szCs w:val="22"/>
              <w:lang w:val="es-CO" w:eastAsia="es-CO"/>
              <w14:ligatures w14:val="standardContextual"/>
            </w:rPr>
          </w:pPr>
          <w:hyperlink w:anchor="_Toc233023708" w:history="1">
            <w:r w:rsidRPr="003333FA">
              <w:rPr>
                <w:rStyle w:val="Hipervnculo"/>
                <w:b/>
                <w:noProof/>
                <w:sz w:val="22"/>
                <w:szCs w:val="22"/>
              </w:rPr>
              <w:t>4.12. Frente Ambiental</w:t>
            </w:r>
            <w:r w:rsidRPr="003333FA">
              <w:rPr>
                <w:noProof/>
                <w:webHidden/>
                <w:sz w:val="22"/>
                <w:szCs w:val="22"/>
              </w:rPr>
              <w:tab/>
            </w:r>
            <w:r w:rsidRPr="003333FA">
              <w:rPr>
                <w:noProof/>
                <w:webHidden/>
                <w:sz w:val="22"/>
                <w:szCs w:val="22"/>
              </w:rPr>
              <w:fldChar w:fldCharType="begin"/>
            </w:r>
            <w:r w:rsidRPr="003333FA">
              <w:rPr>
                <w:noProof/>
                <w:webHidden/>
                <w:sz w:val="22"/>
                <w:szCs w:val="22"/>
              </w:rPr>
              <w:instrText xml:space="preserve"> PAGEREF _Toc233023708 \h </w:instrText>
            </w:r>
            <w:r w:rsidRPr="003333FA">
              <w:rPr>
                <w:noProof/>
                <w:webHidden/>
                <w:sz w:val="22"/>
                <w:szCs w:val="22"/>
              </w:rPr>
            </w:r>
            <w:r w:rsidRPr="003333FA">
              <w:rPr>
                <w:noProof/>
                <w:webHidden/>
                <w:sz w:val="22"/>
                <w:szCs w:val="22"/>
              </w:rPr>
              <w:fldChar w:fldCharType="separate"/>
            </w:r>
            <w:r w:rsidRPr="003333FA">
              <w:rPr>
                <w:noProof/>
                <w:webHidden/>
                <w:sz w:val="22"/>
                <w:szCs w:val="22"/>
              </w:rPr>
              <w:t>26</w:t>
            </w:r>
            <w:r w:rsidRPr="003333FA">
              <w:rPr>
                <w:noProof/>
                <w:webHidden/>
                <w:sz w:val="22"/>
                <w:szCs w:val="22"/>
              </w:rPr>
              <w:fldChar w:fldCharType="end"/>
            </w:r>
          </w:hyperlink>
        </w:p>
        <w:p w14:paraId="3F327455" w14:textId="5FF10B50" w:rsidR="336EBC96" w:rsidRPr="003333FA" w:rsidRDefault="336EBC96">
          <w:pPr>
            <w:rPr>
              <w:sz w:val="12"/>
              <w:szCs w:val="12"/>
            </w:rPr>
          </w:pPr>
          <w:r w:rsidRPr="003333FA">
            <w:rPr>
              <w:sz w:val="12"/>
              <w:szCs w:val="12"/>
            </w:rPr>
            <w:fldChar w:fldCharType="end"/>
          </w:r>
        </w:p>
      </w:sdtContent>
    </w:sdt>
    <w:p w14:paraId="3DFF5199" w14:textId="79697105" w:rsidR="336EBC96" w:rsidRPr="003333FA" w:rsidRDefault="336EBC96" w:rsidP="336EBC96">
      <w:pPr>
        <w:jc w:val="both"/>
        <w:rPr>
          <w:rFonts w:eastAsia="-webkit-standard" w:cs="-webkit-standard"/>
          <w:sz w:val="14"/>
          <w:szCs w:val="14"/>
        </w:rPr>
      </w:pPr>
    </w:p>
    <w:p w14:paraId="23E31B2C" w14:textId="77777777" w:rsidR="005811DD" w:rsidRPr="0094003A" w:rsidRDefault="005811DD" w:rsidP="336EBC96">
      <w:pPr>
        <w:jc w:val="both"/>
        <w:rPr>
          <w:rFonts w:eastAsia="-webkit-standard" w:cs="-webkit-standard"/>
          <w:sz w:val="22"/>
          <w:szCs w:val="22"/>
        </w:rPr>
      </w:pPr>
    </w:p>
    <w:p w14:paraId="3FE18DF1" w14:textId="1C30BDA9" w:rsidR="77BDD274" w:rsidRPr="003A7491" w:rsidRDefault="007E6CE8" w:rsidP="007E6CE8">
      <w:pPr>
        <w:pStyle w:val="Ttulo1"/>
        <w:jc w:val="center"/>
        <w:rPr>
          <w:rFonts w:asciiTheme="minorHAnsi" w:eastAsia="-webkit-standard" w:hAnsiTheme="minorHAnsi" w:cs="-webkit-standard"/>
          <w:b/>
          <w:bCs/>
          <w:color w:val="auto"/>
          <w:sz w:val="22"/>
          <w:szCs w:val="22"/>
        </w:rPr>
      </w:pPr>
      <w:bookmarkStart w:id="0" w:name="_Toc1494605037"/>
      <w:bookmarkStart w:id="1" w:name="_Toc233023681"/>
      <w:r w:rsidRPr="003A7491">
        <w:rPr>
          <w:rFonts w:asciiTheme="minorHAnsi" w:hAnsiTheme="minorHAnsi"/>
          <w:b/>
          <w:bCs/>
          <w:color w:val="auto"/>
          <w:sz w:val="22"/>
          <w:szCs w:val="22"/>
        </w:rPr>
        <w:t>1. INTRODUCCIÓN</w:t>
      </w:r>
      <w:bookmarkEnd w:id="0"/>
      <w:bookmarkEnd w:id="1"/>
    </w:p>
    <w:p w14:paraId="40A3CDAC" w14:textId="77777777" w:rsidR="007E6CE8" w:rsidRDefault="007E6CE8" w:rsidP="336EBC96">
      <w:pPr>
        <w:jc w:val="both"/>
        <w:rPr>
          <w:rFonts w:eastAsia="-webkit-standard" w:cs="-webkit-standard"/>
          <w:sz w:val="22"/>
          <w:szCs w:val="22"/>
        </w:rPr>
      </w:pPr>
    </w:p>
    <w:p w14:paraId="73AABCD1" w14:textId="77777777" w:rsidR="00052B5B" w:rsidRPr="00732E83" w:rsidRDefault="00052B5B" w:rsidP="00052B5B">
      <w:pPr>
        <w:pStyle w:val="Textoindependiente"/>
        <w:spacing w:before="128" w:line="278" w:lineRule="auto"/>
        <w:ind w:right="11"/>
        <w:rPr>
          <w:rFonts w:asciiTheme="minorHAnsi" w:hAnsiTheme="minorHAnsi"/>
          <w:spacing w:val="-13"/>
          <w:sz w:val="22"/>
          <w:szCs w:val="22"/>
        </w:rPr>
      </w:pPr>
      <w:r w:rsidRPr="5FD3B07F">
        <w:rPr>
          <w:rFonts w:asciiTheme="minorHAnsi" w:hAnsiTheme="minorHAnsi"/>
          <w:sz w:val="22"/>
          <w:szCs w:val="22"/>
        </w:rPr>
        <w:t>El presente informe semestral de seguimiento tiene como propósito consolidar y analizar los avances</w:t>
      </w:r>
      <w:r w:rsidRPr="5FD3B07F">
        <w:rPr>
          <w:rFonts w:asciiTheme="minorHAnsi" w:hAnsiTheme="minorHAnsi"/>
          <w:spacing w:val="-14"/>
          <w:sz w:val="22"/>
          <w:szCs w:val="22"/>
        </w:rPr>
        <w:t xml:space="preserve"> </w:t>
      </w:r>
      <w:r w:rsidRPr="5FD3B07F">
        <w:rPr>
          <w:rFonts w:asciiTheme="minorHAnsi" w:hAnsiTheme="minorHAnsi"/>
          <w:sz w:val="22"/>
          <w:szCs w:val="22"/>
        </w:rPr>
        <w:t>registrados</w:t>
      </w:r>
      <w:r w:rsidRPr="5FD3B07F">
        <w:rPr>
          <w:rFonts w:asciiTheme="minorHAnsi" w:hAnsiTheme="minorHAnsi"/>
          <w:spacing w:val="-13"/>
          <w:sz w:val="22"/>
          <w:szCs w:val="22"/>
        </w:rPr>
        <w:t xml:space="preserve"> </w:t>
      </w:r>
      <w:r w:rsidRPr="5FD3B07F">
        <w:rPr>
          <w:rFonts w:asciiTheme="minorHAnsi" w:hAnsiTheme="minorHAnsi"/>
          <w:sz w:val="22"/>
          <w:szCs w:val="22"/>
        </w:rPr>
        <w:t>en</w:t>
      </w:r>
      <w:r w:rsidRPr="5FD3B07F">
        <w:rPr>
          <w:rFonts w:asciiTheme="minorHAnsi" w:hAnsiTheme="minorHAnsi"/>
          <w:spacing w:val="-13"/>
          <w:sz w:val="22"/>
          <w:szCs w:val="22"/>
        </w:rPr>
        <w:t xml:space="preserve"> </w:t>
      </w:r>
      <w:r w:rsidRPr="5FD3B07F">
        <w:rPr>
          <w:rFonts w:asciiTheme="minorHAnsi" w:hAnsiTheme="minorHAnsi"/>
          <w:sz w:val="22"/>
          <w:szCs w:val="22"/>
        </w:rPr>
        <w:t>la</w:t>
      </w:r>
      <w:r w:rsidRPr="5FD3B07F">
        <w:rPr>
          <w:rFonts w:asciiTheme="minorHAnsi" w:hAnsiTheme="minorHAnsi"/>
          <w:spacing w:val="-13"/>
          <w:sz w:val="22"/>
          <w:szCs w:val="22"/>
        </w:rPr>
        <w:t xml:space="preserve"> </w:t>
      </w:r>
      <w:r w:rsidRPr="5FD3B07F">
        <w:rPr>
          <w:rFonts w:asciiTheme="minorHAnsi" w:hAnsiTheme="minorHAnsi"/>
          <w:sz w:val="22"/>
          <w:szCs w:val="22"/>
        </w:rPr>
        <w:t>implementación</w:t>
      </w:r>
      <w:r w:rsidRPr="5FD3B07F">
        <w:rPr>
          <w:rFonts w:asciiTheme="minorHAnsi" w:hAnsiTheme="minorHAnsi"/>
          <w:spacing w:val="-14"/>
          <w:sz w:val="22"/>
          <w:szCs w:val="22"/>
        </w:rPr>
        <w:t xml:space="preserve"> </w:t>
      </w:r>
      <w:r w:rsidRPr="5FD3B07F">
        <w:rPr>
          <w:rFonts w:asciiTheme="minorHAnsi" w:hAnsiTheme="minorHAnsi"/>
          <w:sz w:val="22"/>
          <w:szCs w:val="22"/>
        </w:rPr>
        <w:t>del</w:t>
      </w:r>
      <w:r w:rsidRPr="5FD3B07F">
        <w:rPr>
          <w:rFonts w:asciiTheme="minorHAnsi" w:hAnsiTheme="minorHAnsi"/>
          <w:spacing w:val="-13"/>
          <w:sz w:val="22"/>
          <w:szCs w:val="22"/>
        </w:rPr>
        <w:t xml:space="preserve"> </w:t>
      </w:r>
      <w:r w:rsidRPr="5FD3B07F">
        <w:rPr>
          <w:rFonts w:asciiTheme="minorHAnsi" w:hAnsiTheme="minorHAnsi"/>
          <w:sz w:val="22"/>
          <w:szCs w:val="22"/>
        </w:rPr>
        <w:t xml:space="preserve">Proyecto </w:t>
      </w:r>
      <w:r w:rsidRPr="5FD3B07F">
        <w:rPr>
          <w:rFonts w:asciiTheme="minorHAnsi" w:eastAsia="Aptos" w:hAnsiTheme="minorHAnsi" w:cs="Aptos"/>
          <w:sz w:val="22"/>
          <w:szCs w:val="22"/>
        </w:rPr>
        <w:t xml:space="preserve">de inversión: </w:t>
      </w:r>
      <w:r w:rsidRPr="5FD3B07F">
        <w:rPr>
          <w:rFonts w:asciiTheme="minorHAnsi" w:eastAsia="Aptos" w:hAnsiTheme="minorHAnsi" w:cs="Aptos"/>
          <w:b/>
          <w:i/>
          <w:sz w:val="22"/>
          <w:szCs w:val="22"/>
        </w:rPr>
        <w:t>“Implementación de soluciones de generación fotovoltaica para la reducción del costo del servicio eléctrico en los estratos 1, 2 y 3 del Sistema Interconectado Nacional (SIN) – Programa Nacional Colombia Solar”</w:t>
      </w:r>
      <w:r w:rsidRPr="5FD3B07F">
        <w:rPr>
          <w:rFonts w:asciiTheme="minorHAnsi" w:hAnsiTheme="minorHAnsi"/>
          <w:spacing w:val="-13"/>
          <w:sz w:val="22"/>
          <w:szCs w:val="22"/>
        </w:rPr>
        <w:t xml:space="preserve"> como parte de las iniciativas de la apuesta</w:t>
      </w:r>
      <w:r w:rsidRPr="5FD3B07F">
        <w:rPr>
          <w:rFonts w:asciiTheme="minorHAnsi" w:hAnsiTheme="minorHAnsi"/>
          <w:sz w:val="22"/>
          <w:szCs w:val="22"/>
        </w:rPr>
        <w:t xml:space="preserve"> estratégica del Ministerio de Minas y Energía para avanzar en una Transición Energética Justa - TEJ, establecida en el Plan Nacional de Desarrollo 2022-2026 “Colombia Potencia Mundial de la Vida”,</w:t>
      </w:r>
    </w:p>
    <w:p w14:paraId="781A8673" w14:textId="66A043BE" w:rsidR="00052B5B" w:rsidRPr="00732E83" w:rsidRDefault="00052B5B" w:rsidP="1851B6DD">
      <w:pPr>
        <w:pStyle w:val="Textoindependiente"/>
        <w:spacing w:before="128" w:line="278" w:lineRule="auto"/>
        <w:ind w:right="11"/>
        <w:rPr>
          <w:rFonts w:asciiTheme="minorHAnsi" w:hAnsiTheme="minorHAnsi"/>
          <w:i/>
          <w:iCs/>
          <w:sz w:val="22"/>
          <w:szCs w:val="22"/>
          <w:lang w:val="es-CO"/>
        </w:rPr>
      </w:pPr>
      <w:r w:rsidRPr="1851B6DD">
        <w:rPr>
          <w:rFonts w:asciiTheme="minorHAnsi" w:hAnsiTheme="minorHAnsi"/>
          <w:sz w:val="22"/>
          <w:szCs w:val="22"/>
        </w:rPr>
        <w:t xml:space="preserve">El documento desarrolla los avances obtenidos en </w:t>
      </w:r>
      <w:proofErr w:type="spellStart"/>
      <w:r w:rsidRPr="1851B6DD">
        <w:rPr>
          <w:rFonts w:asciiTheme="minorHAnsi" w:hAnsiTheme="minorHAnsi"/>
          <w:sz w:val="22"/>
          <w:szCs w:val="22"/>
        </w:rPr>
        <w:t>c</w:t>
      </w:r>
      <w:r w:rsidR="37D3A2BA" w:rsidRPr="1851B6DD">
        <w:rPr>
          <w:rFonts w:asciiTheme="minorHAnsi" w:hAnsiTheme="minorHAnsi"/>
          <w:sz w:val="22"/>
          <w:szCs w:val="22"/>
        </w:rPr>
        <w:t>u</w:t>
      </w:r>
      <w:r w:rsidR="37D3A2BA" w:rsidRPr="1851B6DD">
        <w:rPr>
          <w:rFonts w:asciiTheme="minorHAnsi" w:hAnsiTheme="minorHAnsi"/>
          <w:sz w:val="22"/>
          <w:szCs w:val="22"/>
          <w:lang w:val="es-CO"/>
        </w:rPr>
        <w:t>mplimiento</w:t>
      </w:r>
      <w:proofErr w:type="spellEnd"/>
      <w:r w:rsidRPr="1851B6DD">
        <w:rPr>
          <w:rFonts w:asciiTheme="minorHAnsi" w:hAnsiTheme="minorHAnsi"/>
          <w:sz w:val="22"/>
          <w:szCs w:val="22"/>
          <w:lang w:val="es-CO"/>
        </w:rPr>
        <w:t xml:space="preserve"> de las obligaciones asociadas a la </w:t>
      </w:r>
      <w:r w:rsidRPr="1851B6DD">
        <w:rPr>
          <w:rFonts w:asciiTheme="minorHAnsi" w:hAnsiTheme="minorHAnsi"/>
          <w:b/>
          <w:bCs/>
          <w:sz w:val="22"/>
          <w:szCs w:val="22"/>
          <w:lang w:val="es-CO"/>
        </w:rPr>
        <w:t xml:space="preserve">Actividad 2 – Servicio de Apoyo Financiero del Proyecto de Inversión </w:t>
      </w:r>
      <w:r w:rsidRPr="1851B6DD">
        <w:rPr>
          <w:rFonts w:asciiTheme="minorHAnsi" w:hAnsiTheme="minorHAnsi"/>
          <w:sz w:val="22"/>
          <w:szCs w:val="22"/>
          <w:lang w:val="es-CO"/>
        </w:rPr>
        <w:t>y documenta y consolida el estado de ejecución de las acciones relacionadas con la actividad</w:t>
      </w:r>
      <w:r w:rsidR="009060E4" w:rsidRPr="1851B6DD">
        <w:rPr>
          <w:rFonts w:asciiTheme="minorHAnsi" w:hAnsiTheme="minorHAnsi"/>
          <w:sz w:val="22"/>
          <w:szCs w:val="22"/>
          <w:lang w:val="es-CO"/>
        </w:rPr>
        <w:t xml:space="preserve"> de</w:t>
      </w:r>
      <w:r w:rsidRPr="1851B6DD">
        <w:rPr>
          <w:rFonts w:asciiTheme="minorHAnsi" w:hAnsiTheme="minorHAnsi"/>
          <w:sz w:val="22"/>
          <w:szCs w:val="22"/>
          <w:lang w:val="es-CO"/>
        </w:rPr>
        <w:t>: </w:t>
      </w:r>
      <w:r w:rsidRPr="1851B6DD">
        <w:rPr>
          <w:rFonts w:asciiTheme="minorHAnsi" w:hAnsiTheme="minorHAnsi"/>
          <w:b/>
          <w:bCs/>
          <w:sz w:val="22"/>
          <w:szCs w:val="22"/>
          <w:lang w:val="es-CO"/>
        </w:rPr>
        <w:t>"</w:t>
      </w:r>
      <w:r w:rsidRPr="1851B6DD">
        <w:rPr>
          <w:rFonts w:asciiTheme="minorHAnsi" w:hAnsiTheme="minorHAnsi"/>
          <w:b/>
          <w:bCs/>
          <w:i/>
          <w:iCs/>
          <w:sz w:val="22"/>
          <w:szCs w:val="22"/>
          <w:lang w:val="es-CO"/>
        </w:rPr>
        <w:t>Incorporar mecanismos de supervisión, interventoría y monitoreo en la ejecución de las soluciones energéticas, con el propósito de garantizar el cumplimiento de los requisitos técnicos, operativos, administrativos y contractuales, así como la sostenibilidad de los resultados alcanzados"</w:t>
      </w:r>
      <w:r w:rsidRPr="1851B6DD">
        <w:rPr>
          <w:rFonts w:asciiTheme="minorHAnsi" w:hAnsiTheme="minorHAnsi"/>
          <w:i/>
          <w:iCs/>
          <w:sz w:val="22"/>
          <w:szCs w:val="22"/>
          <w:lang w:val="es-CO"/>
        </w:rPr>
        <w:t>.</w:t>
      </w:r>
    </w:p>
    <w:p w14:paraId="7EE30344" w14:textId="03AED959" w:rsidR="005811DD" w:rsidRDefault="00052B5B" w:rsidP="00996288">
      <w:pPr>
        <w:pStyle w:val="Textoindependiente"/>
        <w:spacing w:before="128" w:line="278" w:lineRule="auto"/>
        <w:ind w:right="11"/>
        <w:rPr>
          <w:rFonts w:asciiTheme="minorHAnsi" w:hAnsiTheme="minorHAnsi"/>
          <w:sz w:val="22"/>
          <w:szCs w:val="22"/>
        </w:rPr>
      </w:pPr>
      <w:r w:rsidRPr="5FD3B07F">
        <w:rPr>
          <w:rFonts w:asciiTheme="minorHAnsi" w:hAnsiTheme="minorHAnsi"/>
          <w:sz w:val="22"/>
          <w:szCs w:val="22"/>
        </w:rPr>
        <w:t>El análisis se realiza a partir de la información reportada por los diferentes frentes de</w:t>
      </w:r>
      <w:r w:rsidRPr="5FD3B07F">
        <w:rPr>
          <w:rFonts w:asciiTheme="minorHAnsi" w:hAnsiTheme="minorHAnsi"/>
          <w:spacing w:val="-1"/>
          <w:sz w:val="22"/>
          <w:szCs w:val="22"/>
        </w:rPr>
        <w:t xml:space="preserve"> </w:t>
      </w:r>
      <w:r w:rsidRPr="5FD3B07F">
        <w:rPr>
          <w:rFonts w:asciiTheme="minorHAnsi" w:hAnsiTheme="minorHAnsi"/>
          <w:sz w:val="22"/>
          <w:szCs w:val="22"/>
        </w:rPr>
        <w:t>trabajo</w:t>
      </w:r>
      <w:r w:rsidRPr="5FD3B07F">
        <w:rPr>
          <w:rFonts w:asciiTheme="minorHAnsi" w:hAnsiTheme="minorHAnsi"/>
          <w:spacing w:val="-1"/>
          <w:sz w:val="22"/>
          <w:szCs w:val="22"/>
        </w:rPr>
        <w:t xml:space="preserve"> </w:t>
      </w:r>
      <w:r w:rsidRPr="5FD3B07F">
        <w:rPr>
          <w:rFonts w:asciiTheme="minorHAnsi" w:hAnsiTheme="minorHAnsi"/>
          <w:sz w:val="22"/>
          <w:szCs w:val="22"/>
        </w:rPr>
        <w:t>del programa, los</w:t>
      </w:r>
      <w:r w:rsidRPr="5FD3B07F">
        <w:rPr>
          <w:rFonts w:asciiTheme="minorHAnsi" w:hAnsiTheme="minorHAnsi"/>
          <w:spacing w:val="-1"/>
          <w:sz w:val="22"/>
          <w:szCs w:val="22"/>
        </w:rPr>
        <w:t xml:space="preserve"> </w:t>
      </w:r>
      <w:r w:rsidRPr="5FD3B07F">
        <w:rPr>
          <w:rFonts w:asciiTheme="minorHAnsi" w:hAnsiTheme="minorHAnsi"/>
          <w:sz w:val="22"/>
          <w:szCs w:val="22"/>
        </w:rPr>
        <w:t xml:space="preserve">documentos técnicos y administrativos disponibles, los informes semanales de seguimiento, los soportes cargados en el repositorio documental y los instrumentos oficiales que estructuran jurídica, financiera y operativamente </w:t>
      </w:r>
      <w:r w:rsidR="001D3405">
        <w:rPr>
          <w:rFonts w:asciiTheme="minorHAnsi" w:hAnsiTheme="minorHAnsi"/>
          <w:sz w:val="22"/>
          <w:szCs w:val="22"/>
        </w:rPr>
        <w:t>el proyecto.</w:t>
      </w:r>
    </w:p>
    <w:p w14:paraId="30D96F5E" w14:textId="77777777" w:rsidR="00996288" w:rsidRPr="00996288" w:rsidRDefault="00996288" w:rsidP="00996288">
      <w:pPr>
        <w:pStyle w:val="Textoindependiente"/>
        <w:spacing w:before="0" w:line="278" w:lineRule="auto"/>
        <w:ind w:right="11"/>
        <w:rPr>
          <w:rFonts w:asciiTheme="minorHAnsi" w:hAnsiTheme="minorHAnsi"/>
          <w:sz w:val="22"/>
          <w:szCs w:val="22"/>
        </w:rPr>
      </w:pPr>
    </w:p>
    <w:p w14:paraId="3D9904D8" w14:textId="7012C9CA" w:rsidR="77BDD274" w:rsidRPr="00776A19" w:rsidRDefault="77BDD274" w:rsidP="336EBC96">
      <w:pPr>
        <w:jc w:val="both"/>
        <w:rPr>
          <w:sz w:val="22"/>
          <w:szCs w:val="22"/>
        </w:rPr>
      </w:pPr>
      <w:r w:rsidRPr="0094003A">
        <w:rPr>
          <w:rFonts w:eastAsia="-webkit-standard" w:cs="-webkit-standard"/>
          <w:sz w:val="22"/>
          <w:szCs w:val="22"/>
        </w:rPr>
        <w:t xml:space="preserve">El seguimiento que se presenta en este informe se enmarca en los instrumentos normativos, contractuales y de planeación que soportan el Programa Colombia Solar. Entre ellos se encuentran el Decreto 0972 de 2025, mediante el cual se crea el programa y se habilita el desarrollo de la energía solar como fuente de autogeneración para usuarios de estratos 1, 2 y 3; el Documento CONPES 4158 de 2025, que declara de importancia estratégica el proyecto de inversión; el proyecto de inversión identificado con código BPIN 202500000025335; la ficha ajustada del proyecto de inversión; </w:t>
      </w:r>
      <w:r w:rsidR="00E92B7C" w:rsidRPr="00776A19">
        <w:rPr>
          <w:rFonts w:eastAsia="-webkit-standard" w:cs="-webkit-standard"/>
          <w:sz w:val="22"/>
          <w:szCs w:val="22"/>
        </w:rPr>
        <w:t xml:space="preserve">el contrato </w:t>
      </w:r>
      <w:r w:rsidR="00FF0434" w:rsidRPr="00776A19">
        <w:rPr>
          <w:rFonts w:eastAsia="-webkit-standard" w:cs="-webkit-standard"/>
          <w:sz w:val="22"/>
          <w:szCs w:val="22"/>
        </w:rPr>
        <w:t xml:space="preserve">suscrito con la </w:t>
      </w:r>
      <w:r w:rsidR="00FF0434" w:rsidRPr="5FD3B07F">
        <w:rPr>
          <w:rFonts w:cs="NunitoSans10pt-SemiBold"/>
          <w:sz w:val="22"/>
          <w:szCs w:val="22"/>
        </w:rPr>
        <w:t xml:space="preserve">GENERADORA Y COMERCIALIZADORA DE ENERGÍA DEL CARIBE – GECELCA S.A. E.S.P. </w:t>
      </w:r>
      <w:r w:rsidR="00F2558E" w:rsidRPr="5FD3B07F">
        <w:rPr>
          <w:rFonts w:cs="NunitoSans10pt-SemiBold"/>
          <w:sz w:val="22"/>
          <w:szCs w:val="22"/>
        </w:rPr>
        <w:t xml:space="preserve">cuyo objeto contempla la administración de los recursos asignados al Programa Colombia Solar para la gestión e implementación de proyectos de soluciones solares fotovoltaicas </w:t>
      </w:r>
      <w:r w:rsidR="007E5E7C" w:rsidRPr="5FD3B07F">
        <w:rPr>
          <w:rFonts w:cs="NunitoSans10pt-SemiBold"/>
          <w:sz w:val="22"/>
          <w:szCs w:val="22"/>
        </w:rPr>
        <w:t xml:space="preserve">y </w:t>
      </w:r>
      <w:r w:rsidR="00ED742E" w:rsidRPr="5FD3B07F">
        <w:rPr>
          <w:rFonts w:cs="NunitoSans10pt-SemiBold"/>
          <w:sz w:val="22"/>
          <w:szCs w:val="22"/>
        </w:rPr>
        <w:t xml:space="preserve">la suscripción del Convenio Interadministrativo No. 116231-100-2026 con el PATRIMONIO AUTÓNOMO FIDEICOMISO FENOGE, cuyo vocero y administrador es el Consorcio PACC FENOGE 2023, y el Ministerio de Minas y Energía, </w:t>
      </w:r>
      <w:r w:rsidR="00520E2F">
        <w:rPr>
          <w:rFonts w:cs="NunitoSans10pt-SemiBold"/>
          <w:sz w:val="22"/>
          <w:szCs w:val="22"/>
        </w:rPr>
        <w:t>con el fin de</w:t>
      </w:r>
      <w:r w:rsidR="00ED742E" w:rsidRPr="00732E83">
        <w:rPr>
          <w:rFonts w:cs="NunitoSans10pt-SemiBold"/>
          <w:sz w:val="22"/>
          <w:szCs w:val="22"/>
        </w:rPr>
        <w:t xml:space="preserve"> </w:t>
      </w:r>
      <w:r w:rsidR="00520E2F">
        <w:rPr>
          <w:rFonts w:cs="NunitoSans10pt-SemiBold"/>
          <w:sz w:val="22"/>
          <w:szCs w:val="22"/>
        </w:rPr>
        <w:t>articular</w:t>
      </w:r>
      <w:r w:rsidR="00ED742E" w:rsidRPr="5FD3B07F">
        <w:rPr>
          <w:rFonts w:cs="NunitoSans10pt-SemiBold"/>
          <w:sz w:val="22"/>
          <w:szCs w:val="22"/>
        </w:rPr>
        <w:t xml:space="preserve"> esfuerzos y capacidades técnicas, operativas, administrativas y financieras para la ejecución de las Actividades de Fomento de Proyectos de Energía Innovadores - AFPEI en el marco de la implementación </w:t>
      </w:r>
      <w:r w:rsidR="00036AC3">
        <w:rPr>
          <w:rFonts w:cs="NunitoSans10pt-SemiBold"/>
          <w:sz w:val="22"/>
          <w:szCs w:val="22"/>
        </w:rPr>
        <w:t>de Colombia solar así como los</w:t>
      </w:r>
      <w:r w:rsidR="00C03BF9" w:rsidRPr="5FD3B07F">
        <w:rPr>
          <w:rFonts w:cs="NunitoSans10pt-SemiBold"/>
          <w:sz w:val="22"/>
          <w:szCs w:val="22"/>
        </w:rPr>
        <w:t xml:space="preserve"> demás </w:t>
      </w:r>
      <w:r w:rsidRPr="00776A19">
        <w:rPr>
          <w:rFonts w:eastAsia="-webkit-standard" w:cs="-webkit-standard"/>
          <w:sz w:val="22"/>
          <w:szCs w:val="22"/>
        </w:rPr>
        <w:t>documentos técnicos, sociales, regulatorios y financieros elaborados durante la fase inicial de implementación.</w:t>
      </w:r>
    </w:p>
    <w:p w14:paraId="2D2C1E52" w14:textId="37EA0728" w:rsidR="77BDD274" w:rsidRPr="00D24A1F" w:rsidRDefault="77BDD274" w:rsidP="336EBC96">
      <w:pPr>
        <w:jc w:val="both"/>
        <w:rPr>
          <w:sz w:val="22"/>
          <w:szCs w:val="22"/>
        </w:rPr>
      </w:pPr>
      <w:r w:rsidRPr="1851B6DD">
        <w:rPr>
          <w:rFonts w:eastAsia="-webkit-standard" w:cs="-webkit-standard"/>
          <w:sz w:val="22"/>
          <w:szCs w:val="22"/>
        </w:rPr>
        <w:t xml:space="preserve">El ejercicio de seguimiento tiene como finalidad generar información útil para la toma de decisiones institucionales, el control de la ejecución, la identificación de riesgos, la trazabilidad </w:t>
      </w:r>
      <w:r w:rsidRPr="00D24A1F">
        <w:rPr>
          <w:rFonts w:eastAsia="-webkit-standard" w:cs="-webkit-standard"/>
          <w:sz w:val="22"/>
          <w:szCs w:val="22"/>
        </w:rPr>
        <w:lastRenderedPageBreak/>
        <w:t xml:space="preserve">de los compromisos y la formulación de acciones de mejora. En consecuencia, el informe no se limita a presentar una relación descriptiva de actividades, sino que busca organizar los avances a partir de los frentes responsables, los productos generados, las evidencias disponibles, los indicadores asociados, las alertas identificadas y los retos que requieren atención para asegurar el cumplimiento de los objetivos estratégicos del </w:t>
      </w:r>
      <w:r w:rsidR="00E76B8A" w:rsidRPr="00D24A1F">
        <w:rPr>
          <w:rFonts w:eastAsia="-webkit-standard" w:cs="-webkit-standard"/>
          <w:sz w:val="22"/>
          <w:szCs w:val="22"/>
        </w:rPr>
        <w:t>proyecto</w:t>
      </w:r>
      <w:r w:rsidRPr="00D24A1F">
        <w:rPr>
          <w:rFonts w:eastAsia="-webkit-standard" w:cs="-webkit-standard"/>
          <w:sz w:val="22"/>
          <w:szCs w:val="22"/>
        </w:rPr>
        <w:t>.</w:t>
      </w:r>
    </w:p>
    <w:p w14:paraId="098C4EFA" w14:textId="59402406" w:rsidR="77BDD274" w:rsidRPr="0094003A" w:rsidRDefault="77BDD274" w:rsidP="336EBC96">
      <w:pPr>
        <w:jc w:val="both"/>
        <w:rPr>
          <w:sz w:val="22"/>
          <w:szCs w:val="22"/>
        </w:rPr>
      </w:pPr>
      <w:r w:rsidRPr="00D24A1F">
        <w:rPr>
          <w:rFonts w:eastAsia="-webkit-standard" w:cs="-webkit-standard"/>
          <w:sz w:val="22"/>
          <w:szCs w:val="22"/>
        </w:rPr>
        <w:t>La información consolidada proviene principalmente de los</w:t>
      </w:r>
      <w:r w:rsidRPr="0094003A">
        <w:rPr>
          <w:rFonts w:eastAsia="-webkit-standard" w:cs="-webkit-standard"/>
          <w:sz w:val="22"/>
          <w:szCs w:val="22"/>
        </w:rPr>
        <w:t xml:space="preserve"> informes de seguimiento elaborados para el </w:t>
      </w:r>
      <w:r w:rsidR="001B582D" w:rsidRPr="5FD3B07F">
        <w:rPr>
          <w:rFonts w:eastAsia="-webkit-standard" w:cs="-webkit-standard"/>
          <w:sz w:val="22"/>
          <w:szCs w:val="22"/>
        </w:rPr>
        <w:t>primer semestre de 2026</w:t>
      </w:r>
      <w:r w:rsidRPr="5FD3B07F">
        <w:rPr>
          <w:rFonts w:eastAsia="-webkit-standard" w:cs="-webkit-standard"/>
          <w:sz w:val="22"/>
          <w:szCs w:val="22"/>
        </w:rPr>
        <w:t>.</w:t>
      </w:r>
      <w:r w:rsidRPr="0094003A">
        <w:rPr>
          <w:rFonts w:eastAsia="-webkit-standard" w:cs="-webkit-standard"/>
          <w:sz w:val="22"/>
          <w:szCs w:val="22"/>
        </w:rPr>
        <w:t xml:space="preserve"> Estos documentos permiten identificar un proceso progresivo de estructuración institucional del seguimiento, en el cual se definieron frentes de trabajo, líderes responsables, matrices de control, repositorios de evidencias, reuniones periódicas de monitoreo y mecanismos de reporte orientados a mejorar la trazabilidad técnica, administrativa, contractual, financiera, social y regulatoria del programa.</w:t>
      </w:r>
    </w:p>
    <w:p w14:paraId="3447AD20" w14:textId="63739EE4" w:rsidR="77BDD274" w:rsidRPr="0094003A" w:rsidRDefault="77BDD274" w:rsidP="336EBC96">
      <w:pPr>
        <w:jc w:val="both"/>
        <w:rPr>
          <w:rFonts w:eastAsia="-webkit-standard" w:cs="-webkit-standard"/>
          <w:sz w:val="22"/>
          <w:szCs w:val="22"/>
        </w:rPr>
      </w:pPr>
      <w:r w:rsidRPr="0094003A">
        <w:rPr>
          <w:rFonts w:eastAsia="-webkit-standard" w:cs="-webkit-standard"/>
          <w:sz w:val="22"/>
          <w:szCs w:val="22"/>
        </w:rPr>
        <w:t xml:space="preserve">El informe adopta una lectura integral del programa, organizada por componentes de avance, frentes de trabajo, productos, evidencias y acciones de mejora. </w:t>
      </w:r>
      <w:r w:rsidRPr="5FD3B07F">
        <w:rPr>
          <w:rFonts w:eastAsia="-webkit-standard" w:cs="-webkit-standard"/>
          <w:sz w:val="22"/>
          <w:szCs w:val="22"/>
        </w:rPr>
        <w:t xml:space="preserve">De esta manera, se busca </w:t>
      </w:r>
      <w:r w:rsidR="00411A84" w:rsidRPr="5FD3B07F">
        <w:rPr>
          <w:rFonts w:eastAsia="-webkit-standard" w:cs="-webkit-standard"/>
          <w:sz w:val="22"/>
          <w:szCs w:val="22"/>
        </w:rPr>
        <w:t>consolidar los avances del proyecto</w:t>
      </w:r>
      <w:r w:rsidR="00353F26" w:rsidRPr="5FD3B07F">
        <w:rPr>
          <w:rFonts w:eastAsia="-webkit-standard" w:cs="-webkit-standard"/>
          <w:sz w:val="22"/>
          <w:szCs w:val="22"/>
        </w:rPr>
        <w:t xml:space="preserve"> en armonía con </w:t>
      </w:r>
      <w:r w:rsidRPr="5FD3B07F">
        <w:rPr>
          <w:rFonts w:eastAsia="-webkit-standard" w:cs="-webkit-standard"/>
          <w:sz w:val="22"/>
          <w:szCs w:val="22"/>
        </w:rPr>
        <w:t>la coordinación interinstitucional entre el Ministerio de Minas y Energía, FENOGE</w:t>
      </w:r>
      <w:r w:rsidR="00353F26" w:rsidRPr="5FD3B07F">
        <w:rPr>
          <w:rFonts w:eastAsia="-webkit-standard" w:cs="-webkit-standard"/>
          <w:sz w:val="22"/>
          <w:szCs w:val="22"/>
        </w:rPr>
        <w:t xml:space="preserve"> y</w:t>
      </w:r>
      <w:r w:rsidRPr="5FD3B07F">
        <w:rPr>
          <w:rFonts w:eastAsia="-webkit-standard" w:cs="-webkit-standard"/>
          <w:sz w:val="22"/>
          <w:szCs w:val="22"/>
        </w:rPr>
        <w:t xml:space="preserve"> GECELCA</w:t>
      </w:r>
    </w:p>
    <w:p w14:paraId="00657CA2" w14:textId="6362A043" w:rsidR="2DE0C607" w:rsidRPr="003A7491" w:rsidRDefault="2DE0C607" w:rsidP="336EBC96">
      <w:pPr>
        <w:pStyle w:val="Ttulo1"/>
        <w:rPr>
          <w:rFonts w:asciiTheme="minorHAnsi" w:eastAsia="-webkit-standard" w:hAnsiTheme="minorHAnsi" w:cs="-webkit-standard"/>
          <w:b/>
          <w:bCs/>
          <w:color w:val="auto"/>
          <w:sz w:val="22"/>
          <w:szCs w:val="22"/>
        </w:rPr>
      </w:pPr>
      <w:bookmarkStart w:id="2" w:name="_Toc546918514"/>
      <w:bookmarkStart w:id="3" w:name="_Toc233023682"/>
      <w:r w:rsidRPr="003A7491">
        <w:rPr>
          <w:rFonts w:asciiTheme="minorHAnsi" w:hAnsiTheme="minorHAnsi"/>
          <w:b/>
          <w:bCs/>
          <w:color w:val="auto"/>
          <w:sz w:val="22"/>
          <w:szCs w:val="22"/>
        </w:rPr>
        <w:t xml:space="preserve">2. </w:t>
      </w:r>
      <w:r w:rsidR="00BA1B71" w:rsidRPr="003A7491">
        <w:rPr>
          <w:rFonts w:asciiTheme="minorHAnsi" w:hAnsiTheme="minorHAnsi"/>
          <w:b/>
          <w:bCs/>
          <w:color w:val="auto"/>
          <w:sz w:val="22"/>
          <w:szCs w:val="22"/>
        </w:rPr>
        <w:t>GENERALIDADES DEL PROGRAMA COLOMBIA SOLAR</w:t>
      </w:r>
      <w:bookmarkEnd w:id="2"/>
      <w:bookmarkEnd w:id="3"/>
    </w:p>
    <w:p w14:paraId="62B0D041" w14:textId="77777777" w:rsidR="00BA1B71" w:rsidRDefault="00BA1B71" w:rsidP="00914AD5">
      <w:pPr>
        <w:spacing w:after="0"/>
        <w:jc w:val="both"/>
        <w:rPr>
          <w:rFonts w:eastAsia="-webkit-standard" w:cs="-webkit-standard"/>
          <w:sz w:val="22"/>
          <w:szCs w:val="22"/>
        </w:rPr>
      </w:pPr>
    </w:p>
    <w:p w14:paraId="0DDBE612" w14:textId="0EEAC5CA" w:rsidR="2DE0C607" w:rsidRPr="0094003A" w:rsidRDefault="2DE0C607" w:rsidP="336EBC96">
      <w:pPr>
        <w:jc w:val="both"/>
        <w:rPr>
          <w:sz w:val="22"/>
          <w:szCs w:val="22"/>
        </w:rPr>
      </w:pPr>
      <w:r w:rsidRPr="0094003A">
        <w:rPr>
          <w:rFonts w:eastAsia="-webkit-standard" w:cs="-webkit-standard"/>
          <w:sz w:val="22"/>
          <w:szCs w:val="22"/>
        </w:rPr>
        <w:t xml:space="preserve">El </w:t>
      </w:r>
      <w:r w:rsidR="007E452C" w:rsidRPr="5FD3B07F">
        <w:rPr>
          <w:rFonts w:eastAsia="-webkit-standard" w:cs="-webkit-standard"/>
          <w:sz w:val="22"/>
          <w:szCs w:val="22"/>
        </w:rPr>
        <w:t>proyecto</w:t>
      </w:r>
      <w:r w:rsidRPr="0094003A" w:rsidDel="00F06152">
        <w:rPr>
          <w:rFonts w:eastAsia="-webkit-standard" w:cs="-webkit-standard"/>
          <w:sz w:val="22"/>
          <w:szCs w:val="22"/>
        </w:rPr>
        <w:t xml:space="preserve"> </w:t>
      </w:r>
      <w:r w:rsidRPr="0094003A">
        <w:rPr>
          <w:rFonts w:eastAsia="-webkit-standard" w:cs="-webkit-standard"/>
          <w:sz w:val="22"/>
          <w:szCs w:val="22"/>
        </w:rPr>
        <w:t xml:space="preserve">es </w:t>
      </w:r>
      <w:r w:rsidRPr="5FD3B07F">
        <w:rPr>
          <w:rFonts w:eastAsia="-webkit-standard" w:cs="-webkit-standard"/>
          <w:sz w:val="22"/>
          <w:szCs w:val="22"/>
        </w:rPr>
        <w:t>liderad</w:t>
      </w:r>
      <w:r w:rsidR="00F62895" w:rsidRPr="5FD3B07F">
        <w:rPr>
          <w:rFonts w:eastAsia="-webkit-standard" w:cs="-webkit-standard"/>
          <w:sz w:val="22"/>
          <w:szCs w:val="22"/>
        </w:rPr>
        <w:t>o</w:t>
      </w:r>
      <w:r w:rsidRPr="0094003A">
        <w:rPr>
          <w:rFonts w:eastAsia="-webkit-standard" w:cs="-webkit-standard"/>
          <w:sz w:val="22"/>
          <w:szCs w:val="22"/>
        </w:rPr>
        <w:t xml:space="preserve"> por el Ministerio de Minas y Energía</w:t>
      </w:r>
      <w:r w:rsidR="00F62895">
        <w:rPr>
          <w:rFonts w:eastAsia="-webkit-standard" w:cs="-webkit-standard"/>
          <w:sz w:val="22"/>
          <w:szCs w:val="22"/>
        </w:rPr>
        <w:t xml:space="preserve"> y está </w:t>
      </w:r>
      <w:r w:rsidRPr="5FD3B07F">
        <w:rPr>
          <w:rFonts w:eastAsia="-webkit-standard" w:cs="-webkit-standard"/>
          <w:sz w:val="22"/>
          <w:szCs w:val="22"/>
        </w:rPr>
        <w:t xml:space="preserve"> orientad</w:t>
      </w:r>
      <w:r w:rsidR="00F62895" w:rsidRPr="5FD3B07F">
        <w:rPr>
          <w:rFonts w:eastAsia="-webkit-standard" w:cs="-webkit-standard"/>
          <w:sz w:val="22"/>
          <w:szCs w:val="22"/>
        </w:rPr>
        <w:t>o</w:t>
      </w:r>
      <w:r w:rsidRPr="0094003A">
        <w:rPr>
          <w:rFonts w:eastAsia="-webkit-standard" w:cs="-webkit-standard"/>
          <w:sz w:val="22"/>
          <w:szCs w:val="22"/>
        </w:rPr>
        <w:t xml:space="preserve"> a promover el desarrollo de la energía solar como fuente de autogeneración para usuarios residenciales de los estratos 1, 2 y 3. Su creación se fundamenta en la necesidad de contar con una alternativa sostenible, progresiva y fiscalmente eficiente frente al esquema tradicional de subsidios al consumo de electricidad, mediante la implementación de soluciones solares fotovoltaicas que permitan reducir el valor de la factura de energía eléctrica para los hogares beneficiarios y contribuir a la sostenibilidad del Fondo de Solidaridad para Subsidios y Redistribución de Ingresos.</w:t>
      </w:r>
    </w:p>
    <w:p w14:paraId="35B2CC55" w14:textId="6D520A54" w:rsidR="2DE0C607" w:rsidRPr="0094003A" w:rsidRDefault="2DE0C607" w:rsidP="336EBC96">
      <w:pPr>
        <w:jc w:val="both"/>
        <w:rPr>
          <w:rFonts w:eastAsia="-webkit-standard" w:cs="-webkit-standard"/>
          <w:sz w:val="22"/>
          <w:szCs w:val="22"/>
        </w:rPr>
      </w:pPr>
      <w:r w:rsidRPr="0094003A">
        <w:rPr>
          <w:rFonts w:eastAsia="-webkit-standard" w:cs="-webkit-standard"/>
          <w:sz w:val="22"/>
          <w:szCs w:val="22"/>
        </w:rPr>
        <w:t>El pro</w:t>
      </w:r>
      <w:r w:rsidR="00F06152">
        <w:rPr>
          <w:rFonts w:eastAsia="-webkit-standard" w:cs="-webkit-standard"/>
          <w:sz w:val="22"/>
          <w:szCs w:val="22"/>
        </w:rPr>
        <w:t>yecto hace parte del Pro</w:t>
      </w:r>
      <w:r w:rsidRPr="0094003A">
        <w:rPr>
          <w:rFonts w:eastAsia="-webkit-standard" w:cs="-webkit-standard"/>
          <w:sz w:val="22"/>
          <w:szCs w:val="22"/>
        </w:rPr>
        <w:t xml:space="preserve">grama </w:t>
      </w:r>
      <w:r w:rsidR="00F06152">
        <w:rPr>
          <w:rFonts w:eastAsia="-webkit-standard" w:cs="-webkit-standard"/>
          <w:sz w:val="22"/>
          <w:szCs w:val="22"/>
        </w:rPr>
        <w:t xml:space="preserve">Colombia Solar y </w:t>
      </w:r>
      <w:r w:rsidRPr="0094003A">
        <w:rPr>
          <w:rFonts w:eastAsia="-webkit-standard" w:cs="-webkit-standard"/>
          <w:sz w:val="22"/>
          <w:szCs w:val="22"/>
        </w:rPr>
        <w:t xml:space="preserve">se </w:t>
      </w:r>
      <w:r w:rsidR="00D317E9" w:rsidRPr="5FD3B07F">
        <w:rPr>
          <w:rFonts w:eastAsia="-webkit-standard" w:cs="-webkit-standard"/>
          <w:sz w:val="22"/>
          <w:szCs w:val="22"/>
        </w:rPr>
        <w:t>enmarca</w:t>
      </w:r>
      <w:r w:rsidRPr="0094003A" w:rsidDel="00D317E9">
        <w:rPr>
          <w:rFonts w:eastAsia="-webkit-standard" w:cs="-webkit-standard"/>
          <w:sz w:val="22"/>
          <w:szCs w:val="22"/>
        </w:rPr>
        <w:t xml:space="preserve"> en </w:t>
      </w:r>
      <w:r w:rsidRPr="0094003A">
        <w:rPr>
          <w:rFonts w:eastAsia="-webkit-standard" w:cs="-webkit-standard"/>
          <w:sz w:val="22"/>
          <w:szCs w:val="22"/>
        </w:rPr>
        <w:t xml:space="preserve">la Transición Energética Justa </w:t>
      </w:r>
      <w:r w:rsidR="00D317E9" w:rsidRPr="5FD3B07F">
        <w:rPr>
          <w:rFonts w:eastAsia="-webkit-standard" w:cs="-webkit-standard"/>
          <w:sz w:val="22"/>
          <w:szCs w:val="22"/>
        </w:rPr>
        <w:t>respondiendo</w:t>
      </w:r>
      <w:r w:rsidRPr="0094003A">
        <w:rPr>
          <w:rFonts w:eastAsia="-webkit-standard" w:cs="-webkit-standard"/>
          <w:sz w:val="22"/>
          <w:szCs w:val="22"/>
        </w:rPr>
        <w:t xml:space="preserve"> a los principios de equidad, solidaridad, eficiencia, sostenibilidad, democratización energética y acceso efectivo a servicios públicos esenciales. En esa medida, </w:t>
      </w:r>
      <w:r w:rsidR="00F645A6" w:rsidRPr="5FD3B07F">
        <w:rPr>
          <w:rFonts w:eastAsia="-webkit-standard" w:cs="-webkit-standard"/>
          <w:sz w:val="22"/>
          <w:szCs w:val="22"/>
        </w:rPr>
        <w:t>está</w:t>
      </w:r>
      <w:r w:rsidR="00F645A6">
        <w:rPr>
          <w:rFonts w:eastAsia="-webkit-standard" w:cs="-webkit-standard"/>
          <w:sz w:val="22"/>
          <w:szCs w:val="22"/>
        </w:rPr>
        <w:t xml:space="preserve"> concebido como una de las estrategias para atender </w:t>
      </w:r>
      <w:r w:rsidR="00093FA3">
        <w:rPr>
          <w:rFonts w:eastAsia="-webkit-standard" w:cs="-webkit-standard"/>
          <w:sz w:val="22"/>
          <w:szCs w:val="22"/>
        </w:rPr>
        <w:t xml:space="preserve">esta </w:t>
      </w:r>
      <w:r w:rsidRPr="0094003A">
        <w:rPr>
          <w:rFonts w:eastAsia="-webkit-standard" w:cs="-webkit-standard"/>
          <w:sz w:val="22"/>
          <w:szCs w:val="22"/>
        </w:rPr>
        <w:t xml:space="preserve">política pública </w:t>
      </w:r>
      <w:r w:rsidR="007C0A28">
        <w:rPr>
          <w:rFonts w:eastAsia="-webkit-standard" w:cs="-webkit-standard"/>
          <w:sz w:val="22"/>
          <w:szCs w:val="22"/>
        </w:rPr>
        <w:t xml:space="preserve">e implementarse a través de </w:t>
      </w:r>
      <w:r w:rsidR="00FE4B4E">
        <w:rPr>
          <w:rFonts w:eastAsia="-webkit-standard" w:cs="-webkit-standard"/>
          <w:sz w:val="22"/>
          <w:szCs w:val="22"/>
        </w:rPr>
        <w:t xml:space="preserve">varios </w:t>
      </w:r>
      <w:r w:rsidR="008D6E64">
        <w:rPr>
          <w:rFonts w:eastAsia="-webkit-standard" w:cs="-webkit-standard"/>
          <w:sz w:val="22"/>
          <w:szCs w:val="22"/>
        </w:rPr>
        <w:t xml:space="preserve">elementos </w:t>
      </w:r>
      <w:r w:rsidR="007C0A28">
        <w:rPr>
          <w:rFonts w:eastAsia="-webkit-standard" w:cs="-webkit-standard"/>
          <w:sz w:val="22"/>
          <w:szCs w:val="22"/>
        </w:rPr>
        <w:t xml:space="preserve">como </w:t>
      </w:r>
      <w:r w:rsidR="00FE4B4E">
        <w:rPr>
          <w:rFonts w:eastAsia="-webkit-standard" w:cs="-webkit-standard"/>
          <w:sz w:val="22"/>
          <w:szCs w:val="22"/>
        </w:rPr>
        <w:t>la</w:t>
      </w:r>
      <w:r w:rsidR="008D6E64">
        <w:rPr>
          <w:rFonts w:eastAsia="-webkit-standard" w:cs="-webkit-standard"/>
          <w:sz w:val="22"/>
          <w:szCs w:val="22"/>
        </w:rPr>
        <w:t xml:space="preserve"> </w:t>
      </w:r>
      <w:r w:rsidRPr="0094003A">
        <w:rPr>
          <w:rFonts w:eastAsia="-webkit-standard" w:cs="-webkit-standard"/>
          <w:sz w:val="22"/>
          <w:szCs w:val="22"/>
        </w:rPr>
        <w:t xml:space="preserve">planeación territorial, </w:t>
      </w:r>
      <w:r w:rsidR="00FE4B4E">
        <w:rPr>
          <w:rFonts w:eastAsia="-webkit-standard" w:cs="-webkit-standard"/>
          <w:sz w:val="22"/>
          <w:szCs w:val="22"/>
        </w:rPr>
        <w:t xml:space="preserve">la </w:t>
      </w:r>
      <w:r w:rsidRPr="0094003A">
        <w:rPr>
          <w:rFonts w:eastAsia="-webkit-standard" w:cs="-webkit-standard"/>
          <w:sz w:val="22"/>
          <w:szCs w:val="22"/>
        </w:rPr>
        <w:t>focalización social,</w:t>
      </w:r>
      <w:r w:rsidR="00FE4B4E">
        <w:rPr>
          <w:rFonts w:eastAsia="-webkit-standard" w:cs="-webkit-standard"/>
          <w:sz w:val="22"/>
          <w:szCs w:val="22"/>
        </w:rPr>
        <w:t xml:space="preserve"> </w:t>
      </w:r>
      <w:r w:rsidR="00223677">
        <w:rPr>
          <w:rFonts w:eastAsia="-webkit-standard" w:cs="-webkit-standard"/>
          <w:sz w:val="22"/>
          <w:szCs w:val="22"/>
        </w:rPr>
        <w:t xml:space="preserve">los </w:t>
      </w:r>
      <w:r w:rsidR="00FE4B4E">
        <w:rPr>
          <w:rFonts w:eastAsia="-webkit-standard" w:cs="-webkit-standard"/>
          <w:sz w:val="22"/>
          <w:szCs w:val="22"/>
        </w:rPr>
        <w:t>procesos de</w:t>
      </w:r>
      <w:r w:rsidRPr="0094003A">
        <w:rPr>
          <w:rFonts w:eastAsia="-webkit-standard" w:cs="-webkit-standard"/>
          <w:sz w:val="22"/>
          <w:szCs w:val="22"/>
        </w:rPr>
        <w:t xml:space="preserve"> implementación técnica, </w:t>
      </w:r>
      <w:r w:rsidR="00FE4B4E">
        <w:rPr>
          <w:rFonts w:eastAsia="-webkit-standard" w:cs="-webkit-standard"/>
          <w:sz w:val="22"/>
          <w:szCs w:val="22"/>
        </w:rPr>
        <w:t xml:space="preserve">la </w:t>
      </w:r>
      <w:r w:rsidRPr="0094003A">
        <w:rPr>
          <w:rFonts w:eastAsia="-webkit-standard" w:cs="-webkit-standard"/>
          <w:sz w:val="22"/>
          <w:szCs w:val="22"/>
        </w:rPr>
        <w:t xml:space="preserve">gestión contractual, </w:t>
      </w:r>
      <w:r w:rsidR="00FE4B4E">
        <w:rPr>
          <w:rFonts w:eastAsia="-webkit-standard" w:cs="-webkit-standard"/>
          <w:sz w:val="22"/>
          <w:szCs w:val="22"/>
        </w:rPr>
        <w:t xml:space="preserve">los ejercicios de </w:t>
      </w:r>
      <w:r w:rsidRPr="0094003A">
        <w:rPr>
          <w:rFonts w:eastAsia="-webkit-standard" w:cs="-webkit-standard"/>
          <w:sz w:val="22"/>
          <w:szCs w:val="22"/>
        </w:rPr>
        <w:t xml:space="preserve">supervisión, </w:t>
      </w:r>
      <w:r w:rsidR="006E6117">
        <w:rPr>
          <w:rFonts w:eastAsia="-webkit-standard" w:cs="-webkit-standard"/>
          <w:sz w:val="22"/>
          <w:szCs w:val="22"/>
        </w:rPr>
        <w:t xml:space="preserve">las </w:t>
      </w:r>
      <w:r w:rsidR="00D33975">
        <w:rPr>
          <w:rFonts w:eastAsia="-webkit-standard" w:cs="-webkit-standard"/>
          <w:sz w:val="22"/>
          <w:szCs w:val="22"/>
        </w:rPr>
        <w:t xml:space="preserve">acciones de </w:t>
      </w:r>
      <w:r w:rsidRPr="0094003A">
        <w:rPr>
          <w:rFonts w:eastAsia="-webkit-standard" w:cs="-webkit-standard"/>
          <w:sz w:val="22"/>
          <w:szCs w:val="22"/>
        </w:rPr>
        <w:t>interventoría</w:t>
      </w:r>
      <w:r w:rsidR="00D33975">
        <w:rPr>
          <w:rFonts w:eastAsia="-webkit-standard" w:cs="-webkit-standard"/>
          <w:sz w:val="22"/>
          <w:szCs w:val="22"/>
        </w:rPr>
        <w:t xml:space="preserve"> y </w:t>
      </w:r>
      <w:r w:rsidR="006E6117">
        <w:rPr>
          <w:rFonts w:eastAsia="-webkit-standard" w:cs="-webkit-standard"/>
          <w:sz w:val="22"/>
          <w:szCs w:val="22"/>
        </w:rPr>
        <w:t xml:space="preserve">el desarrollo de </w:t>
      </w:r>
      <w:r w:rsidR="00D33975">
        <w:rPr>
          <w:rFonts w:eastAsia="-webkit-standard" w:cs="-webkit-standard"/>
          <w:sz w:val="22"/>
          <w:szCs w:val="22"/>
        </w:rPr>
        <w:t xml:space="preserve">actividades </w:t>
      </w:r>
      <w:r w:rsidR="006E6117">
        <w:rPr>
          <w:rFonts w:eastAsia="-webkit-standard" w:cs="-webkit-standard"/>
          <w:sz w:val="22"/>
          <w:szCs w:val="22"/>
        </w:rPr>
        <w:t>de</w:t>
      </w:r>
      <w:r w:rsidRPr="0094003A" w:rsidDel="00D33975">
        <w:rPr>
          <w:rFonts w:eastAsia="-webkit-standard" w:cs="-webkit-standard"/>
          <w:sz w:val="22"/>
          <w:szCs w:val="22"/>
        </w:rPr>
        <w:t xml:space="preserve"> </w:t>
      </w:r>
      <w:r w:rsidRPr="0094003A">
        <w:rPr>
          <w:rFonts w:eastAsia="-webkit-standard" w:cs="-webkit-standard"/>
          <w:sz w:val="22"/>
          <w:szCs w:val="22"/>
        </w:rPr>
        <w:t>participación</w:t>
      </w:r>
      <w:r w:rsidR="006E6117">
        <w:rPr>
          <w:rFonts w:eastAsia="-webkit-standard" w:cs="-webkit-standard"/>
          <w:sz w:val="22"/>
          <w:szCs w:val="22"/>
        </w:rPr>
        <w:t xml:space="preserve"> y relacionamiento</w:t>
      </w:r>
      <w:r w:rsidRPr="0094003A">
        <w:rPr>
          <w:rFonts w:eastAsia="-webkit-standard" w:cs="-webkit-standard"/>
          <w:sz w:val="22"/>
          <w:szCs w:val="22"/>
        </w:rPr>
        <w:t xml:space="preserve"> comunitari</w:t>
      </w:r>
      <w:r w:rsidR="006E6117">
        <w:rPr>
          <w:rFonts w:eastAsia="-webkit-standard" w:cs="-webkit-standard"/>
          <w:sz w:val="22"/>
          <w:szCs w:val="22"/>
        </w:rPr>
        <w:t xml:space="preserve">o. </w:t>
      </w:r>
    </w:p>
    <w:p w14:paraId="48827207" w14:textId="365AA3E1" w:rsidR="2DE0C607" w:rsidRPr="0094003A" w:rsidRDefault="2DE0C607" w:rsidP="336EBC96">
      <w:pPr>
        <w:jc w:val="both"/>
        <w:rPr>
          <w:sz w:val="22"/>
          <w:szCs w:val="22"/>
        </w:rPr>
      </w:pPr>
      <w:r w:rsidRPr="0094003A">
        <w:rPr>
          <w:rFonts w:eastAsia="-webkit-standard" w:cs="-webkit-standard"/>
          <w:sz w:val="22"/>
          <w:szCs w:val="22"/>
        </w:rPr>
        <w:t xml:space="preserve">El proyecto de inversión </w:t>
      </w:r>
      <w:r w:rsidRPr="5FD3B07F">
        <w:rPr>
          <w:rFonts w:eastAsia="-webkit-standard" w:cs="-webkit-standard"/>
          <w:i/>
          <w:sz w:val="22"/>
          <w:szCs w:val="22"/>
        </w:rPr>
        <w:t>“Implementación de soluciones de generación fotovoltaica para la reducción del costo del servicio eléctrico en los estratos 1, 2 y 3 del Sistema Interconectado Nacional (SIN) – Programa Nacional Colombia Solar”</w:t>
      </w:r>
      <w:r w:rsidRPr="0094003A">
        <w:rPr>
          <w:rFonts w:eastAsia="-webkit-standard" w:cs="-webkit-standard"/>
          <w:sz w:val="22"/>
          <w:szCs w:val="22"/>
        </w:rPr>
        <w:t xml:space="preserve"> identificado con el código BPIN 202500000025335</w:t>
      </w:r>
      <w:r w:rsidR="008B29A1">
        <w:rPr>
          <w:rFonts w:eastAsia="-webkit-standard" w:cs="-webkit-standard"/>
          <w:sz w:val="22"/>
          <w:szCs w:val="22"/>
        </w:rPr>
        <w:t xml:space="preserve"> </w:t>
      </w:r>
      <w:r w:rsidRPr="0094003A">
        <w:rPr>
          <w:rFonts w:eastAsia="-webkit-standard" w:cs="-webkit-standard"/>
          <w:sz w:val="22"/>
          <w:szCs w:val="22"/>
        </w:rPr>
        <w:t>fue formulado con un horizonte de ejecución 2026-2030 y</w:t>
      </w:r>
      <w:r w:rsidR="00AC1673">
        <w:rPr>
          <w:rFonts w:eastAsia="-webkit-standard" w:cs="-webkit-standard"/>
          <w:sz w:val="22"/>
          <w:szCs w:val="22"/>
        </w:rPr>
        <w:t xml:space="preserve"> fue</w:t>
      </w:r>
      <w:r w:rsidRPr="0094003A">
        <w:rPr>
          <w:rFonts w:eastAsia="-webkit-standard" w:cs="-webkit-standard"/>
          <w:sz w:val="22"/>
          <w:szCs w:val="22"/>
        </w:rPr>
        <w:t xml:space="preserve"> reconocido como </w:t>
      </w:r>
      <w:r w:rsidRPr="5FD3B07F">
        <w:rPr>
          <w:rFonts w:eastAsia="-webkit-standard" w:cs="-webkit-standard"/>
          <w:b/>
          <w:sz w:val="22"/>
          <w:szCs w:val="22"/>
        </w:rPr>
        <w:t>Proyecto de Interés Nacional y Estratégico</w:t>
      </w:r>
      <w:r w:rsidRPr="0094003A">
        <w:rPr>
          <w:rFonts w:eastAsia="-webkit-standard" w:cs="-webkit-standard"/>
          <w:sz w:val="22"/>
          <w:szCs w:val="22"/>
        </w:rPr>
        <w:t>, dada su relevancia para la política energética nacional, la sostenibilidad fiscal del esquema de subsidios</w:t>
      </w:r>
      <w:r w:rsidR="00FA5528">
        <w:rPr>
          <w:rFonts w:eastAsia="-webkit-standard" w:cs="-webkit-standard"/>
          <w:sz w:val="22"/>
          <w:szCs w:val="22"/>
        </w:rPr>
        <w:t xml:space="preserve"> y su aporte a</w:t>
      </w:r>
      <w:r w:rsidRPr="0094003A">
        <w:rPr>
          <w:rFonts w:eastAsia="-webkit-standard" w:cs="-webkit-standard"/>
          <w:sz w:val="22"/>
          <w:szCs w:val="22"/>
        </w:rPr>
        <w:t xml:space="preserve"> la diversificación de la matriz eléctrica y</w:t>
      </w:r>
      <w:r w:rsidR="00FA5528">
        <w:rPr>
          <w:rFonts w:eastAsia="-webkit-standard" w:cs="-webkit-standard"/>
          <w:sz w:val="22"/>
          <w:szCs w:val="22"/>
        </w:rPr>
        <w:t xml:space="preserve"> a</w:t>
      </w:r>
      <w:r w:rsidRPr="0094003A">
        <w:rPr>
          <w:rFonts w:eastAsia="-webkit-standard" w:cs="-webkit-standard"/>
          <w:sz w:val="22"/>
          <w:szCs w:val="22"/>
        </w:rPr>
        <w:t xml:space="preserve"> la reducción de brechas territoriales en el acceso a energía limpia.</w:t>
      </w:r>
    </w:p>
    <w:p w14:paraId="1C6EB7A9" w14:textId="7A957146" w:rsidR="2DE0C607" w:rsidRPr="0094003A" w:rsidRDefault="2DE0C607" w:rsidP="336EBC96">
      <w:pPr>
        <w:jc w:val="both"/>
        <w:rPr>
          <w:sz w:val="22"/>
          <w:szCs w:val="22"/>
        </w:rPr>
      </w:pPr>
      <w:r w:rsidRPr="0094003A">
        <w:rPr>
          <w:rFonts w:eastAsia="-webkit-standard" w:cs="-webkit-standard"/>
          <w:sz w:val="22"/>
          <w:szCs w:val="22"/>
        </w:rPr>
        <w:lastRenderedPageBreak/>
        <w:t>El Documento CONPES 4158 de 2025 declaró la importancia estratégica del proyecto de inversión y estableció su relevancia dentro de la política pública energética del país</w:t>
      </w:r>
      <w:r w:rsidR="00DA3370">
        <w:rPr>
          <w:rFonts w:eastAsia="-webkit-standard" w:cs="-webkit-standard"/>
          <w:sz w:val="22"/>
          <w:szCs w:val="22"/>
        </w:rPr>
        <w:t>, donde</w:t>
      </w:r>
      <w:r w:rsidR="1C75E6A3" w:rsidRPr="5FD3B07F">
        <w:rPr>
          <w:rFonts w:eastAsia="-webkit-standard" w:cs="-webkit-standard"/>
          <w:sz w:val="22"/>
          <w:szCs w:val="22"/>
        </w:rPr>
        <w:t xml:space="preserve"> </w:t>
      </w:r>
      <w:r w:rsidR="00DA3370" w:rsidRPr="5FD3B07F">
        <w:rPr>
          <w:rFonts w:eastAsia="-webkit-standard" w:cs="-webkit-standard"/>
          <w:sz w:val="22"/>
          <w:szCs w:val="22"/>
        </w:rPr>
        <w:t>se</w:t>
      </w:r>
      <w:r w:rsidRPr="0094003A">
        <w:rPr>
          <w:rFonts w:eastAsia="-webkit-standard" w:cs="-webkit-standard"/>
          <w:sz w:val="22"/>
          <w:szCs w:val="22"/>
        </w:rPr>
        <w:t xml:space="preserve"> reconoce que la autogeneración fotovoltaica dirigida a hogares de estratos 1, 2 y 3 puede contribuir a aliviar la presión fiscal sobre el esquema de subsidios eléctricos, reducir el costo del servicio para los usuarios beneficiarios, ampliar la participación de fuentes no convencionales de energía renovable y promover una transición energética descentralizada, sostenible y socialmente incluyente.</w:t>
      </w:r>
    </w:p>
    <w:p w14:paraId="585D2FC1" w14:textId="1BD44E7C" w:rsidR="6AE42FE0" w:rsidRPr="0094003A" w:rsidRDefault="6AE42FE0" w:rsidP="336EBC96">
      <w:pPr>
        <w:jc w:val="both"/>
        <w:rPr>
          <w:sz w:val="22"/>
          <w:szCs w:val="22"/>
        </w:rPr>
      </w:pPr>
      <w:r w:rsidRPr="0094003A">
        <w:rPr>
          <w:rFonts w:eastAsia="-webkit-standard" w:cs="-webkit-standard"/>
          <w:sz w:val="22"/>
          <w:szCs w:val="22"/>
        </w:rPr>
        <w:t>De acuerdo con</w:t>
      </w:r>
      <w:r w:rsidR="606097BA" w:rsidRPr="0094003A">
        <w:rPr>
          <w:rFonts w:eastAsia="-webkit-standard" w:cs="-webkit-standard"/>
          <w:sz w:val="22"/>
          <w:szCs w:val="22"/>
        </w:rPr>
        <w:t xml:space="preserve"> l</w:t>
      </w:r>
      <w:r w:rsidR="2DE0C607" w:rsidRPr="0094003A">
        <w:rPr>
          <w:rFonts w:eastAsia="-webkit-standard" w:cs="-webkit-standard"/>
          <w:sz w:val="22"/>
          <w:szCs w:val="22"/>
        </w:rPr>
        <w:t>a ficha</w:t>
      </w:r>
      <w:r w:rsidR="547D5EB6" w:rsidRPr="0094003A">
        <w:rPr>
          <w:rFonts w:eastAsia="-webkit-standard" w:cs="-webkit-standard"/>
          <w:sz w:val="22"/>
          <w:szCs w:val="22"/>
        </w:rPr>
        <w:t xml:space="preserve"> </w:t>
      </w:r>
      <w:r w:rsidR="2DE0C607" w:rsidRPr="0094003A">
        <w:rPr>
          <w:rFonts w:eastAsia="-webkit-standard" w:cs="-webkit-standard"/>
          <w:sz w:val="22"/>
          <w:szCs w:val="22"/>
        </w:rPr>
        <w:t>del proyecto de inversión, la meta global</w:t>
      </w:r>
      <w:r w:rsidR="1833D5FD" w:rsidRPr="0094003A">
        <w:rPr>
          <w:rFonts w:eastAsia="-webkit-standard" w:cs="-webkit-standard"/>
          <w:sz w:val="22"/>
          <w:szCs w:val="22"/>
        </w:rPr>
        <w:t xml:space="preserve"> del </w:t>
      </w:r>
      <w:r w:rsidR="007A2365">
        <w:rPr>
          <w:rFonts w:eastAsia="-webkit-standard" w:cs="-webkit-standard"/>
          <w:sz w:val="22"/>
          <w:szCs w:val="22"/>
        </w:rPr>
        <w:t>proyecto</w:t>
      </w:r>
      <w:r w:rsidR="007A2365" w:rsidRPr="0094003A">
        <w:rPr>
          <w:rFonts w:eastAsia="-webkit-standard" w:cs="-webkit-standard"/>
          <w:sz w:val="22"/>
          <w:szCs w:val="22"/>
        </w:rPr>
        <w:t xml:space="preserve"> </w:t>
      </w:r>
      <w:r w:rsidR="1833D5FD" w:rsidRPr="0094003A">
        <w:rPr>
          <w:rFonts w:eastAsia="-webkit-standard" w:cs="-webkit-standard"/>
          <w:sz w:val="22"/>
          <w:szCs w:val="22"/>
        </w:rPr>
        <w:t>es</w:t>
      </w:r>
      <w:r w:rsidR="2DE0C607" w:rsidRPr="0094003A">
        <w:rPr>
          <w:rFonts w:eastAsia="-webkit-standard" w:cs="-webkit-standard"/>
          <w:sz w:val="22"/>
          <w:szCs w:val="22"/>
        </w:rPr>
        <w:t xml:space="preserve"> de 1.155.299 usuarios beneficiados al cierre del horizonte </w:t>
      </w:r>
      <w:r w:rsidR="000B59D8">
        <w:rPr>
          <w:rFonts w:eastAsia="-webkit-standard" w:cs="-webkit-standard"/>
          <w:sz w:val="22"/>
          <w:szCs w:val="22"/>
        </w:rPr>
        <w:t xml:space="preserve">de ejecución en </w:t>
      </w:r>
      <w:r w:rsidR="2DE0C607" w:rsidRPr="0094003A">
        <w:rPr>
          <w:rFonts w:eastAsia="-webkit-standard" w:cs="-webkit-standard"/>
          <w:sz w:val="22"/>
          <w:szCs w:val="22"/>
        </w:rPr>
        <w:t xml:space="preserve">2030, </w:t>
      </w:r>
      <w:r w:rsidR="0470FB35" w:rsidRPr="5FD3B07F">
        <w:rPr>
          <w:rFonts w:eastAsia="-webkit-standard" w:cs="-webkit-standard"/>
          <w:sz w:val="22"/>
          <w:szCs w:val="22"/>
        </w:rPr>
        <w:t>distribu</w:t>
      </w:r>
      <w:r w:rsidR="00C16CDC" w:rsidRPr="5FD3B07F">
        <w:rPr>
          <w:rFonts w:eastAsia="-webkit-standard" w:cs="-webkit-standard"/>
          <w:sz w:val="22"/>
          <w:szCs w:val="22"/>
        </w:rPr>
        <w:t>i</w:t>
      </w:r>
      <w:r w:rsidR="5CD9068B" w:rsidRPr="5FD3B07F">
        <w:rPr>
          <w:rFonts w:eastAsia="-webkit-standard" w:cs="-webkit-standard"/>
          <w:sz w:val="22"/>
          <w:szCs w:val="22"/>
        </w:rPr>
        <w:t>da</w:t>
      </w:r>
      <w:r w:rsidR="5CD9068B" w:rsidRPr="0094003A">
        <w:rPr>
          <w:rFonts w:eastAsia="-webkit-standard" w:cs="-webkit-standard"/>
          <w:sz w:val="22"/>
          <w:szCs w:val="22"/>
        </w:rPr>
        <w:t xml:space="preserve"> en una senda de</w:t>
      </w:r>
      <w:r w:rsidR="2DE0C607" w:rsidRPr="0094003A">
        <w:rPr>
          <w:rFonts w:eastAsia="-webkit-standard" w:cs="-webkit-standard"/>
          <w:sz w:val="22"/>
          <w:szCs w:val="22"/>
        </w:rPr>
        <w:t xml:space="preserve"> implementación anual. </w:t>
      </w:r>
      <w:r w:rsidR="00C16CDC" w:rsidRPr="5FD3B07F">
        <w:rPr>
          <w:rFonts w:eastAsia="-webkit-standard" w:cs="-webkit-standard"/>
          <w:sz w:val="22"/>
          <w:szCs w:val="22"/>
        </w:rPr>
        <w:t>Para</w:t>
      </w:r>
      <w:r w:rsidR="2DE0C607" w:rsidRPr="0094003A">
        <w:rPr>
          <w:rFonts w:eastAsia="-webkit-standard" w:cs="-webkit-standard"/>
          <w:sz w:val="22"/>
          <w:szCs w:val="22"/>
        </w:rPr>
        <w:t xml:space="preserve"> la vigencia 2026 se priorizó la instalación de soluciones individuales de 1,5 </w:t>
      </w:r>
      <w:proofErr w:type="spellStart"/>
      <w:r w:rsidR="2DE0C607" w:rsidRPr="0094003A">
        <w:rPr>
          <w:rFonts w:eastAsia="-webkit-standard" w:cs="-webkit-standard"/>
          <w:sz w:val="22"/>
          <w:szCs w:val="22"/>
        </w:rPr>
        <w:t>kWn</w:t>
      </w:r>
      <w:proofErr w:type="spellEnd"/>
      <w:r w:rsidR="2DE0C607" w:rsidRPr="0094003A">
        <w:rPr>
          <w:rFonts w:eastAsia="-webkit-standard" w:cs="-webkit-standard"/>
          <w:sz w:val="22"/>
          <w:szCs w:val="22"/>
        </w:rPr>
        <w:t>, con una meta ajustada de 21.884 usuarios beneficiados. Esta decisión respondió a criterios de eficiencia operativa, reducción de riesgos de subejecución, generación de resultados tempranos y adaptación a las condiciones reales del mercado, mientras los proyectos de mayor escala avanzan en procesos de maduración técnica para las vigencias posteriores.</w:t>
      </w:r>
    </w:p>
    <w:p w14:paraId="5055D47C" w14:textId="72103F8F" w:rsidR="2DE0C607" w:rsidRPr="0094003A" w:rsidRDefault="2DE0C607" w:rsidP="336EBC96">
      <w:pPr>
        <w:jc w:val="both"/>
        <w:rPr>
          <w:rFonts w:eastAsia="-webkit-standard" w:cs="-webkit-standard"/>
          <w:sz w:val="22"/>
          <w:szCs w:val="22"/>
        </w:rPr>
      </w:pPr>
      <w:r w:rsidRPr="0094003A">
        <w:rPr>
          <w:rFonts w:eastAsia="-webkit-standard" w:cs="-webkit-standard"/>
          <w:sz w:val="22"/>
          <w:szCs w:val="22"/>
        </w:rPr>
        <w:t xml:space="preserve">El </w:t>
      </w:r>
      <w:r w:rsidRPr="5FD3B07F">
        <w:rPr>
          <w:rFonts w:eastAsia="-webkit-standard" w:cs="-webkit-standard"/>
          <w:sz w:val="22"/>
          <w:szCs w:val="22"/>
        </w:rPr>
        <w:t>pro</w:t>
      </w:r>
      <w:r w:rsidR="000755B7" w:rsidRPr="5FD3B07F">
        <w:rPr>
          <w:rFonts w:eastAsia="-webkit-standard" w:cs="-webkit-standard"/>
          <w:sz w:val="22"/>
          <w:szCs w:val="22"/>
        </w:rPr>
        <w:t>yecto</w:t>
      </w:r>
      <w:r w:rsidRPr="5FD3B07F">
        <w:rPr>
          <w:rFonts w:eastAsia="-webkit-standard" w:cs="-webkit-standard"/>
          <w:sz w:val="22"/>
          <w:szCs w:val="22"/>
        </w:rPr>
        <w:t xml:space="preserve"> </w:t>
      </w:r>
      <w:r w:rsidRPr="0094003A">
        <w:rPr>
          <w:rFonts w:eastAsia="-webkit-standard" w:cs="-webkit-standard"/>
          <w:sz w:val="22"/>
          <w:szCs w:val="22"/>
        </w:rPr>
        <w:t xml:space="preserve">se estructura alrededor de </w:t>
      </w:r>
      <w:r w:rsidR="001474F1">
        <w:rPr>
          <w:rFonts w:eastAsia="-webkit-standard" w:cs="-webkit-standard"/>
          <w:sz w:val="22"/>
          <w:szCs w:val="22"/>
        </w:rPr>
        <w:t>cuatro</w:t>
      </w:r>
      <w:r w:rsidR="001474F1" w:rsidRPr="0094003A">
        <w:rPr>
          <w:rFonts w:eastAsia="-webkit-standard" w:cs="-webkit-standard"/>
          <w:sz w:val="22"/>
          <w:szCs w:val="22"/>
        </w:rPr>
        <w:t xml:space="preserve"> </w:t>
      </w:r>
      <w:r w:rsidR="009E1706" w:rsidRPr="5FD3B07F">
        <w:rPr>
          <w:rFonts w:eastAsia="-webkit-standard" w:cs="-webkit-standard"/>
          <w:sz w:val="22"/>
          <w:szCs w:val="22"/>
        </w:rPr>
        <w:t>actividades</w:t>
      </w:r>
      <w:r w:rsidR="009E1706">
        <w:rPr>
          <w:rFonts w:eastAsia="-webkit-standard" w:cs="-webkit-standard"/>
          <w:sz w:val="22"/>
          <w:szCs w:val="22"/>
        </w:rPr>
        <w:t xml:space="preserve"> que dan cuenta de los recursos</w:t>
      </w:r>
      <w:r w:rsidRPr="0094003A" w:rsidDel="00075757">
        <w:rPr>
          <w:rFonts w:eastAsia="-webkit-standard" w:cs="-webkit-standard"/>
          <w:sz w:val="22"/>
          <w:szCs w:val="22"/>
        </w:rPr>
        <w:t xml:space="preserve"> </w:t>
      </w:r>
      <w:r w:rsidRPr="0094003A">
        <w:rPr>
          <w:rFonts w:eastAsia="-webkit-standard" w:cs="-webkit-standard"/>
          <w:sz w:val="22"/>
          <w:szCs w:val="22"/>
        </w:rPr>
        <w:t>de inversión</w:t>
      </w:r>
      <w:r w:rsidR="00075757">
        <w:rPr>
          <w:rFonts w:eastAsia="-webkit-standard" w:cs="-webkit-standard"/>
          <w:sz w:val="22"/>
          <w:szCs w:val="22"/>
        </w:rPr>
        <w:t xml:space="preserve">, en primer lugar, </w:t>
      </w:r>
      <w:r w:rsidR="00D97AEA" w:rsidRPr="5FD3B07F">
        <w:rPr>
          <w:rFonts w:eastAsia="-webkit-standard" w:cs="-webkit-standard"/>
          <w:i/>
          <w:sz w:val="22"/>
          <w:szCs w:val="22"/>
        </w:rPr>
        <w:t>la realización de estudios integrales para delimitar el universo de intervención, identificar el potencial solar y priorizar municipios con condiciones técnicas, sociales y económicas favorables, evaluando la infraestructura disponible y la viabilidad de soluciones fotovoltaicas</w:t>
      </w:r>
      <w:r w:rsidR="00D97AEA">
        <w:rPr>
          <w:rFonts w:eastAsia="-webkit-standard" w:cs="-webkit-standard"/>
          <w:sz w:val="22"/>
          <w:szCs w:val="22"/>
        </w:rPr>
        <w:t xml:space="preserve"> y en segundo lugar, </w:t>
      </w:r>
      <w:r w:rsidR="001474F1" w:rsidRPr="5FD3B07F">
        <w:rPr>
          <w:rFonts w:eastAsia="-webkit-standard" w:cs="-webkit-standard"/>
          <w:i/>
          <w:sz w:val="22"/>
          <w:szCs w:val="22"/>
        </w:rPr>
        <w:t>la divulgación y reconocimiento del programa Colombia Solar a nivel territorial, nacional e internacional</w:t>
      </w:r>
      <w:r w:rsidR="00384775">
        <w:rPr>
          <w:rFonts w:eastAsia="-webkit-standard" w:cs="-webkit-standard"/>
          <w:sz w:val="22"/>
          <w:szCs w:val="22"/>
        </w:rPr>
        <w:t xml:space="preserve">, en tercer lugar,  </w:t>
      </w:r>
      <w:r w:rsidR="00384775" w:rsidRPr="5FD3B07F">
        <w:rPr>
          <w:rFonts w:eastAsia="-webkit-standard" w:cs="-webkit-standard"/>
          <w:i/>
          <w:sz w:val="22"/>
          <w:szCs w:val="22"/>
        </w:rPr>
        <w:t>la implementación de soluciones fotovoltaicas a partir de una evaluación multidimensional de viabilidad técnica, económica y social, con diseños ajustados a la demanda de la población objetivo y una ejecución articulada bajo criterios de eficiencia operativa, sostenibilidad y optimización de recursos</w:t>
      </w:r>
      <w:r w:rsidR="00DC296D">
        <w:rPr>
          <w:rFonts w:eastAsia="-webkit-standard" w:cs="-webkit-standard"/>
          <w:i/>
          <w:iCs/>
          <w:sz w:val="22"/>
          <w:szCs w:val="22"/>
        </w:rPr>
        <w:t>,</w:t>
      </w:r>
      <w:r w:rsidR="00384775">
        <w:rPr>
          <w:rFonts w:eastAsia="-webkit-standard" w:cs="-webkit-standard"/>
          <w:sz w:val="22"/>
          <w:szCs w:val="22"/>
        </w:rPr>
        <w:t xml:space="preserve"> y en cuar</w:t>
      </w:r>
      <w:r w:rsidR="004E5E3B">
        <w:rPr>
          <w:rFonts w:eastAsia="-webkit-standard" w:cs="-webkit-standard"/>
          <w:sz w:val="22"/>
          <w:szCs w:val="22"/>
        </w:rPr>
        <w:t>t</w:t>
      </w:r>
      <w:r w:rsidR="00384775">
        <w:rPr>
          <w:rFonts w:eastAsia="-webkit-standard" w:cs="-webkit-standard"/>
          <w:sz w:val="22"/>
          <w:szCs w:val="22"/>
        </w:rPr>
        <w:t xml:space="preserve">o y último </w:t>
      </w:r>
      <w:r w:rsidR="008A6BFF">
        <w:rPr>
          <w:rFonts w:eastAsia="-webkit-standard" w:cs="-webkit-standard"/>
          <w:sz w:val="22"/>
          <w:szCs w:val="22"/>
        </w:rPr>
        <w:t>lugar</w:t>
      </w:r>
      <w:r w:rsidR="006E6E51">
        <w:rPr>
          <w:rFonts w:eastAsia="-webkit-standard" w:cs="-webkit-standard"/>
          <w:sz w:val="22"/>
          <w:szCs w:val="22"/>
        </w:rPr>
        <w:t xml:space="preserve">, </w:t>
      </w:r>
      <w:r w:rsidR="006E6E51" w:rsidRPr="5FD3B07F">
        <w:rPr>
          <w:rFonts w:eastAsia="-webkit-standard" w:cs="-webkit-standard"/>
          <w:i/>
          <w:sz w:val="22"/>
          <w:szCs w:val="22"/>
        </w:rPr>
        <w:t>la incorporación mecanismos de supervisión, interventoría y monitoreo en la ejecución de soluciones energéticas para asegurar el cumplimiento de los requisitos técnicos y operativos, así como la sostenibilidad de los resultados</w:t>
      </w:r>
      <w:r w:rsidR="006E6E51">
        <w:rPr>
          <w:rFonts w:eastAsia="-webkit-standard" w:cs="-webkit-standard"/>
          <w:sz w:val="22"/>
          <w:szCs w:val="22"/>
        </w:rPr>
        <w:t xml:space="preserve"> </w:t>
      </w:r>
      <w:r w:rsidR="006900CE">
        <w:rPr>
          <w:rFonts w:eastAsia="-webkit-standard" w:cs="-webkit-standard"/>
          <w:sz w:val="22"/>
          <w:szCs w:val="22"/>
        </w:rPr>
        <w:t xml:space="preserve">Esta última será objeto de reporte para el seguimiento semestral solicitado. </w:t>
      </w:r>
    </w:p>
    <w:p w14:paraId="630FE6F7" w14:textId="13B1D383" w:rsidR="2DE0C607" w:rsidRPr="0094003A" w:rsidRDefault="2DE0C607" w:rsidP="336EBC96">
      <w:pPr>
        <w:jc w:val="both"/>
        <w:rPr>
          <w:rFonts w:eastAsia="-webkit-standard" w:cs="-webkit-standard"/>
          <w:sz w:val="22"/>
          <w:szCs w:val="22"/>
        </w:rPr>
      </w:pPr>
      <w:r w:rsidRPr="0094003A">
        <w:rPr>
          <w:rFonts w:eastAsia="-webkit-standard" w:cs="-webkit-standard"/>
          <w:sz w:val="22"/>
          <w:szCs w:val="22"/>
        </w:rPr>
        <w:t xml:space="preserve">La ejecución del </w:t>
      </w:r>
      <w:r w:rsidR="00941CB5">
        <w:rPr>
          <w:rFonts w:eastAsia="-webkit-standard" w:cs="-webkit-standard"/>
          <w:sz w:val="22"/>
          <w:szCs w:val="22"/>
        </w:rPr>
        <w:t>proyecto</w:t>
      </w:r>
      <w:r w:rsidR="00941CB5" w:rsidRPr="0094003A">
        <w:rPr>
          <w:rFonts w:eastAsia="-webkit-standard" w:cs="-webkit-standard"/>
          <w:sz w:val="22"/>
          <w:szCs w:val="22"/>
        </w:rPr>
        <w:t xml:space="preserve"> </w:t>
      </w:r>
      <w:r w:rsidRPr="0094003A">
        <w:rPr>
          <w:rFonts w:eastAsia="-webkit-standard" w:cs="-webkit-standard"/>
          <w:sz w:val="22"/>
          <w:szCs w:val="22"/>
        </w:rPr>
        <w:t xml:space="preserve">involucra distintos actores </w:t>
      </w:r>
      <w:r w:rsidR="000955DA" w:rsidRPr="5FD3B07F">
        <w:rPr>
          <w:rFonts w:eastAsia="-webkit-standard" w:cs="-webkit-standard"/>
          <w:sz w:val="22"/>
          <w:szCs w:val="22"/>
        </w:rPr>
        <w:t>como</w:t>
      </w:r>
      <w:r w:rsidRPr="5FD3B07F">
        <w:rPr>
          <w:rFonts w:eastAsia="-webkit-standard" w:cs="-webkit-standard"/>
          <w:sz w:val="22"/>
          <w:szCs w:val="22"/>
        </w:rPr>
        <w:t xml:space="preserve"> </w:t>
      </w:r>
      <w:r w:rsidRPr="0094003A">
        <w:rPr>
          <w:rFonts w:eastAsia="-webkit-standard" w:cs="-webkit-standard"/>
          <w:sz w:val="22"/>
          <w:szCs w:val="22"/>
        </w:rPr>
        <w:t xml:space="preserve">el </w:t>
      </w:r>
      <w:r w:rsidR="00B8219E" w:rsidRPr="0094003A">
        <w:rPr>
          <w:rFonts w:eastAsia="-webkit-standard" w:cs="-webkit-standard"/>
          <w:sz w:val="22"/>
          <w:szCs w:val="22"/>
        </w:rPr>
        <w:t>MINISTERIO DE MINAS Y ENERGÍA</w:t>
      </w:r>
      <w:r w:rsidRPr="0094003A">
        <w:rPr>
          <w:rFonts w:eastAsia="-webkit-standard" w:cs="-webkit-standard"/>
          <w:sz w:val="22"/>
          <w:szCs w:val="22"/>
        </w:rPr>
        <w:t xml:space="preserve">, entidad rectora y líder de la política; </w:t>
      </w:r>
      <w:r w:rsidR="00074F5C">
        <w:rPr>
          <w:rFonts w:eastAsia="-webkit-standard" w:cs="-webkit-standard"/>
          <w:sz w:val="22"/>
          <w:szCs w:val="22"/>
        </w:rPr>
        <w:t xml:space="preserve">el </w:t>
      </w:r>
      <w:r w:rsidR="002E4883" w:rsidRPr="008A32BC">
        <w:rPr>
          <w:rFonts w:cs="NunitoSans10pt-SemiBold"/>
          <w:sz w:val="22"/>
          <w:szCs w:val="22"/>
        </w:rPr>
        <w:t xml:space="preserve">PATRIMONIO AUTÓNOMO FIDEICOMISO </w:t>
      </w:r>
      <w:r w:rsidR="001F17F9">
        <w:rPr>
          <w:rFonts w:cs="NunitoSans10pt-SemiBold"/>
          <w:sz w:val="22"/>
          <w:szCs w:val="22"/>
        </w:rPr>
        <w:t xml:space="preserve">- </w:t>
      </w:r>
      <w:r w:rsidRPr="0094003A">
        <w:rPr>
          <w:rFonts w:eastAsia="-webkit-standard" w:cs="-webkit-standard"/>
          <w:sz w:val="22"/>
          <w:szCs w:val="22"/>
        </w:rPr>
        <w:t>FENOGE</w:t>
      </w:r>
      <w:r w:rsidR="00B8219E">
        <w:rPr>
          <w:rFonts w:eastAsia="-webkit-standard" w:cs="-webkit-standard"/>
          <w:sz w:val="22"/>
          <w:szCs w:val="22"/>
        </w:rPr>
        <w:t>,</w:t>
      </w:r>
      <w:r w:rsidR="00114E7E">
        <w:rPr>
          <w:rFonts w:eastAsia="-webkit-standard" w:cs="-webkit-standard"/>
          <w:sz w:val="22"/>
          <w:szCs w:val="22"/>
        </w:rPr>
        <w:t xml:space="preserve"> la </w:t>
      </w:r>
      <w:r w:rsidR="00114E7E" w:rsidRPr="008A32BC">
        <w:rPr>
          <w:rFonts w:cs="NunitoSans10pt-SemiBold"/>
          <w:sz w:val="22"/>
          <w:szCs w:val="22"/>
        </w:rPr>
        <w:t>GENERADORA Y COMERCIALIZADORA DE ENERGÍA DEL CARIBE – GECELCA S.A. E.S.P</w:t>
      </w:r>
      <w:r w:rsidRPr="0094003A">
        <w:rPr>
          <w:rFonts w:eastAsia="-webkit-standard" w:cs="-webkit-standard"/>
          <w:sz w:val="22"/>
          <w:szCs w:val="22"/>
        </w:rPr>
        <w:t xml:space="preserve">, </w:t>
      </w:r>
      <w:r w:rsidR="00B8219E">
        <w:rPr>
          <w:rFonts w:eastAsia="-webkit-standard" w:cs="-webkit-standard"/>
          <w:sz w:val="22"/>
          <w:szCs w:val="22"/>
        </w:rPr>
        <w:t xml:space="preserve">la COMISIÓN DE REGULACIÓN DE ENERGÍA Y GAS </w:t>
      </w:r>
      <w:r w:rsidR="001F17F9">
        <w:rPr>
          <w:rFonts w:eastAsia="-webkit-standard" w:cs="-webkit-standard"/>
          <w:sz w:val="22"/>
          <w:szCs w:val="22"/>
        </w:rPr>
        <w:t xml:space="preserve">- </w:t>
      </w:r>
      <w:r w:rsidR="00B8219E">
        <w:rPr>
          <w:rFonts w:eastAsia="-webkit-standard" w:cs="-webkit-standard"/>
          <w:sz w:val="22"/>
          <w:szCs w:val="22"/>
        </w:rPr>
        <w:t>CREG,</w:t>
      </w:r>
      <w:r w:rsidR="00316EFC">
        <w:rPr>
          <w:rFonts w:eastAsia="-webkit-standard" w:cs="-webkit-standard"/>
          <w:sz w:val="22"/>
          <w:szCs w:val="22"/>
        </w:rPr>
        <w:t xml:space="preserve"> </w:t>
      </w:r>
      <w:r w:rsidR="00473CA4">
        <w:rPr>
          <w:rFonts w:eastAsia="-webkit-standard" w:cs="-webkit-standard"/>
          <w:sz w:val="22"/>
          <w:szCs w:val="22"/>
        </w:rPr>
        <w:t xml:space="preserve">los </w:t>
      </w:r>
      <w:r w:rsidRPr="0094003A">
        <w:rPr>
          <w:rFonts w:eastAsia="-webkit-standard" w:cs="-webkit-standard"/>
          <w:sz w:val="22"/>
          <w:szCs w:val="22"/>
        </w:rPr>
        <w:t>operadores de red</w:t>
      </w:r>
      <w:r w:rsidR="00473CA4">
        <w:rPr>
          <w:rFonts w:eastAsia="-webkit-standard" w:cs="-webkit-standard"/>
          <w:sz w:val="22"/>
          <w:szCs w:val="22"/>
        </w:rPr>
        <w:t xml:space="preserve"> las</w:t>
      </w:r>
      <w:r w:rsidRPr="0094003A">
        <w:rPr>
          <w:rFonts w:eastAsia="-webkit-standard" w:cs="-webkit-standard"/>
          <w:sz w:val="22"/>
          <w:szCs w:val="22"/>
        </w:rPr>
        <w:t xml:space="preserve"> entidades territoriales</w:t>
      </w:r>
      <w:r w:rsidR="001F17F9">
        <w:rPr>
          <w:rFonts w:eastAsia="-webkit-standard" w:cs="-webkit-standard"/>
          <w:sz w:val="22"/>
          <w:szCs w:val="22"/>
        </w:rPr>
        <w:t xml:space="preserve"> y</w:t>
      </w:r>
      <w:r w:rsidRPr="0094003A">
        <w:rPr>
          <w:rFonts w:eastAsia="-webkit-standard" w:cs="-webkit-standard"/>
          <w:sz w:val="22"/>
          <w:szCs w:val="22"/>
        </w:rPr>
        <w:t xml:space="preserve"> </w:t>
      </w:r>
      <w:r w:rsidR="00743B57">
        <w:rPr>
          <w:rFonts w:eastAsia="-webkit-standard" w:cs="-webkit-standard"/>
          <w:sz w:val="22"/>
          <w:szCs w:val="22"/>
        </w:rPr>
        <w:t xml:space="preserve">las </w:t>
      </w:r>
      <w:r w:rsidRPr="0094003A">
        <w:rPr>
          <w:rFonts w:eastAsia="-webkit-standard" w:cs="-webkit-standard"/>
          <w:sz w:val="22"/>
          <w:szCs w:val="22"/>
        </w:rPr>
        <w:t>comunidades beneficiarias</w:t>
      </w:r>
      <w:r w:rsidR="001F17F9">
        <w:rPr>
          <w:rFonts w:eastAsia="-webkit-standard" w:cs="-webkit-standard"/>
          <w:sz w:val="22"/>
          <w:szCs w:val="22"/>
        </w:rPr>
        <w:t xml:space="preserve">. </w:t>
      </w:r>
    </w:p>
    <w:p w14:paraId="79DDE3E3" w14:textId="727892A1" w:rsidR="00090D17" w:rsidRPr="00732E83" w:rsidRDefault="00090D17" w:rsidP="00732E83">
      <w:pPr>
        <w:pStyle w:val="Ttulo1"/>
        <w:jc w:val="both"/>
        <w:rPr>
          <w:b/>
          <w:sz w:val="22"/>
          <w:szCs w:val="22"/>
        </w:rPr>
      </w:pPr>
      <w:bookmarkStart w:id="4" w:name="_Toc233023683"/>
      <w:r w:rsidRPr="00732E83">
        <w:rPr>
          <w:b/>
          <w:bCs/>
          <w:color w:val="auto"/>
          <w:sz w:val="22"/>
          <w:szCs w:val="22"/>
        </w:rPr>
        <w:t>3. SEGUIMIENTO AL PROYECTO</w:t>
      </w:r>
      <w:bookmarkEnd w:id="4"/>
      <w:r w:rsidRPr="00732E83">
        <w:rPr>
          <w:b/>
          <w:bCs/>
          <w:color w:val="auto"/>
          <w:sz w:val="22"/>
          <w:szCs w:val="22"/>
        </w:rPr>
        <w:t xml:space="preserve"> </w:t>
      </w:r>
    </w:p>
    <w:p w14:paraId="70BE791A" w14:textId="77777777" w:rsidR="00090D17" w:rsidRDefault="00090D17" w:rsidP="00996288">
      <w:pPr>
        <w:spacing w:after="0"/>
        <w:jc w:val="both"/>
        <w:rPr>
          <w:rFonts w:eastAsia="-webkit-standard" w:cs="-webkit-standard"/>
          <w:sz w:val="22"/>
          <w:szCs w:val="22"/>
        </w:rPr>
      </w:pPr>
    </w:p>
    <w:p w14:paraId="56657645" w14:textId="5072D138" w:rsidR="00656074" w:rsidRDefault="2DE0C607" w:rsidP="336EBC96">
      <w:pPr>
        <w:jc w:val="both"/>
        <w:rPr>
          <w:rFonts w:eastAsia="-webkit-standard" w:cs="-webkit-standard"/>
          <w:sz w:val="22"/>
          <w:szCs w:val="22"/>
        </w:rPr>
      </w:pPr>
      <w:r w:rsidRPr="0094003A">
        <w:rPr>
          <w:rFonts w:eastAsia="-webkit-standard" w:cs="-webkit-standard"/>
          <w:sz w:val="22"/>
          <w:szCs w:val="22"/>
        </w:rPr>
        <w:t xml:space="preserve">Desde el punto de vista operativo, el seguimiento </w:t>
      </w:r>
      <w:r w:rsidR="00366162" w:rsidRPr="5FD3B07F">
        <w:rPr>
          <w:rFonts w:eastAsia="-webkit-standard" w:cs="-webkit-standard"/>
          <w:sz w:val="22"/>
          <w:szCs w:val="22"/>
        </w:rPr>
        <w:t>al</w:t>
      </w:r>
      <w:r w:rsidR="00366162">
        <w:rPr>
          <w:rFonts w:eastAsia="-webkit-standard" w:cs="-webkit-standard"/>
          <w:sz w:val="22"/>
          <w:szCs w:val="22"/>
        </w:rPr>
        <w:t xml:space="preserve"> proyecto</w:t>
      </w:r>
      <w:r w:rsidRPr="0094003A">
        <w:rPr>
          <w:rFonts w:eastAsia="-webkit-standard" w:cs="-webkit-standard"/>
          <w:sz w:val="22"/>
          <w:szCs w:val="22"/>
        </w:rPr>
        <w:t xml:space="preserve"> se ha organizado </w:t>
      </w:r>
      <w:r w:rsidR="00AD701A">
        <w:rPr>
          <w:rFonts w:eastAsia="-webkit-standard" w:cs="-webkit-standard"/>
          <w:sz w:val="22"/>
          <w:szCs w:val="22"/>
        </w:rPr>
        <w:t xml:space="preserve">alrededor de </w:t>
      </w:r>
      <w:r w:rsidR="00C17C56">
        <w:rPr>
          <w:rFonts w:eastAsia="-webkit-standard" w:cs="-webkit-standard"/>
          <w:sz w:val="22"/>
          <w:szCs w:val="22"/>
        </w:rPr>
        <w:t>nueve</w:t>
      </w:r>
      <w:r w:rsidR="00D17C3B">
        <w:rPr>
          <w:rFonts w:eastAsia="-webkit-standard" w:cs="-webkit-standard"/>
          <w:sz w:val="22"/>
          <w:szCs w:val="22"/>
        </w:rPr>
        <w:t xml:space="preserve"> </w:t>
      </w:r>
      <w:r w:rsidRPr="0094003A">
        <w:rPr>
          <w:rFonts w:eastAsia="-webkit-standard" w:cs="-webkit-standard"/>
          <w:sz w:val="22"/>
          <w:szCs w:val="22"/>
        </w:rPr>
        <w:t>frentes de trabajo que permiten observar la ejecución desde una perspectiva integral</w:t>
      </w:r>
      <w:r w:rsidR="00DA4CE9">
        <w:rPr>
          <w:rFonts w:eastAsia="-webkit-standard" w:cs="-webkit-standard"/>
          <w:sz w:val="22"/>
          <w:szCs w:val="22"/>
        </w:rPr>
        <w:t xml:space="preserve"> y que se traducen en avances que aportan de manera transversal a la ejecución de </w:t>
      </w:r>
      <w:r w:rsidR="00656074">
        <w:rPr>
          <w:rFonts w:eastAsia="-webkit-standard" w:cs="-webkit-standard"/>
          <w:sz w:val="22"/>
          <w:szCs w:val="22"/>
        </w:rPr>
        <w:t xml:space="preserve">las actividades y </w:t>
      </w:r>
      <w:r w:rsidR="00B621A9">
        <w:rPr>
          <w:rFonts w:eastAsia="-webkit-standard" w:cs="-webkit-standard"/>
          <w:sz w:val="22"/>
          <w:szCs w:val="22"/>
        </w:rPr>
        <w:t>a</w:t>
      </w:r>
      <w:r w:rsidR="00656074">
        <w:rPr>
          <w:rFonts w:eastAsia="-webkit-standard" w:cs="-webkit-standard"/>
          <w:sz w:val="22"/>
          <w:szCs w:val="22"/>
        </w:rPr>
        <w:t>l cumplimiento de las metas propuestas</w:t>
      </w:r>
      <w:r w:rsidR="00B621A9">
        <w:rPr>
          <w:rFonts w:eastAsia="-webkit-standard" w:cs="-webkit-standard"/>
          <w:sz w:val="22"/>
          <w:szCs w:val="22"/>
        </w:rPr>
        <w:t xml:space="preserve"> desde una mirada administrativa</w:t>
      </w:r>
      <w:r w:rsidR="006B65E4">
        <w:rPr>
          <w:rFonts w:eastAsia="-webkit-standard" w:cs="-webkit-standard"/>
          <w:sz w:val="22"/>
          <w:szCs w:val="22"/>
        </w:rPr>
        <w:t>, técnica y financiera</w:t>
      </w:r>
      <w:r w:rsidRPr="0094003A">
        <w:rPr>
          <w:rFonts w:eastAsia="-webkit-standard" w:cs="-webkit-standard"/>
          <w:sz w:val="22"/>
          <w:szCs w:val="22"/>
        </w:rPr>
        <w:t xml:space="preserve">. </w:t>
      </w:r>
    </w:p>
    <w:p w14:paraId="7A3FED95" w14:textId="6D350A49" w:rsidR="008836F4" w:rsidRDefault="00656074" w:rsidP="336EBC96">
      <w:pPr>
        <w:jc w:val="both"/>
        <w:rPr>
          <w:rFonts w:eastAsia="-webkit-standard" w:cs="-webkit-standard"/>
          <w:sz w:val="22"/>
          <w:szCs w:val="22"/>
        </w:rPr>
      </w:pPr>
      <w:r>
        <w:rPr>
          <w:rFonts w:eastAsia="-webkit-standard" w:cs="-webkit-standard"/>
          <w:sz w:val="22"/>
          <w:szCs w:val="22"/>
        </w:rPr>
        <w:lastRenderedPageBreak/>
        <w:t>Los frentes de trabajo se definir</w:t>
      </w:r>
      <w:r w:rsidR="008836F4">
        <w:rPr>
          <w:rFonts w:eastAsia="-webkit-standard" w:cs="-webkit-standard"/>
          <w:sz w:val="22"/>
          <w:szCs w:val="22"/>
        </w:rPr>
        <w:t>án teniendo en cuenta su alcance y aporte a la actividad objeto del presente informe: “</w:t>
      </w:r>
      <w:r w:rsidR="008836F4">
        <w:rPr>
          <w:rFonts w:eastAsia="-webkit-standard" w:cs="-webkit-standard"/>
          <w:i/>
          <w:iCs/>
          <w:sz w:val="22"/>
          <w:szCs w:val="22"/>
        </w:rPr>
        <w:t>I</w:t>
      </w:r>
      <w:r w:rsidR="008836F4" w:rsidRPr="008A32BC">
        <w:rPr>
          <w:rFonts w:eastAsia="-webkit-standard" w:cs="-webkit-standard"/>
          <w:i/>
          <w:iCs/>
          <w:sz w:val="22"/>
          <w:szCs w:val="22"/>
        </w:rPr>
        <w:t>ncorpora</w:t>
      </w:r>
      <w:r w:rsidR="008836F4">
        <w:rPr>
          <w:rFonts w:eastAsia="-webkit-standard" w:cs="-webkit-standard"/>
          <w:i/>
          <w:iCs/>
          <w:sz w:val="22"/>
          <w:szCs w:val="22"/>
        </w:rPr>
        <w:t>r</w:t>
      </w:r>
      <w:r w:rsidR="008836F4" w:rsidRPr="008A32BC">
        <w:rPr>
          <w:rFonts w:eastAsia="-webkit-standard" w:cs="-webkit-standard"/>
          <w:i/>
          <w:iCs/>
          <w:sz w:val="22"/>
          <w:szCs w:val="22"/>
        </w:rPr>
        <w:t xml:space="preserve"> mecanismos de supervisión, interventoría y monitoreo en la ejecución de soluciones energéticas para asegurar el cumplimiento de los requisitos técnicos y operativos, así como la sostenibilidad de los resultados</w:t>
      </w:r>
      <w:r w:rsidR="008836F4">
        <w:rPr>
          <w:rFonts w:eastAsia="-webkit-standard" w:cs="-webkit-standard"/>
          <w:i/>
          <w:iCs/>
          <w:sz w:val="22"/>
          <w:szCs w:val="22"/>
        </w:rPr>
        <w:t>”</w:t>
      </w:r>
      <w:r w:rsidR="006B65E4">
        <w:rPr>
          <w:rFonts w:eastAsia="-webkit-standard" w:cs="-webkit-standard"/>
          <w:i/>
          <w:iCs/>
          <w:sz w:val="22"/>
          <w:szCs w:val="22"/>
        </w:rPr>
        <w:t xml:space="preserve">. </w:t>
      </w:r>
      <w:r w:rsidR="006B65E4">
        <w:rPr>
          <w:rFonts w:eastAsia="-webkit-standard" w:cs="-webkit-standard"/>
          <w:sz w:val="22"/>
          <w:szCs w:val="22"/>
        </w:rPr>
        <w:t xml:space="preserve">A continuación, se describen los frentes de trabajo en los cuales se enmarca el seguimiento actual al proyecto: </w:t>
      </w:r>
    </w:p>
    <w:p w14:paraId="203CD676" w14:textId="0DB42DFB" w:rsidR="00E248C2" w:rsidRPr="00732E83" w:rsidRDefault="00E248C2" w:rsidP="00732E83">
      <w:pPr>
        <w:pStyle w:val="Ttulo2"/>
        <w:rPr>
          <w:b/>
          <w:bCs/>
          <w:color w:val="auto"/>
          <w:sz w:val="22"/>
          <w:szCs w:val="22"/>
        </w:rPr>
      </w:pPr>
      <w:bookmarkStart w:id="5" w:name="_Toc233023684"/>
      <w:r w:rsidRPr="00316EFC">
        <w:rPr>
          <w:b/>
          <w:color w:val="auto"/>
          <w:sz w:val="22"/>
          <w:szCs w:val="22"/>
        </w:rPr>
        <w:t>3.1. Frente Administrativo</w:t>
      </w:r>
      <w:bookmarkEnd w:id="5"/>
    </w:p>
    <w:p w14:paraId="58FC2955" w14:textId="647410B9"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es responsable de coordinar y consolidar los procesos administrativos asociados a la ejecución del </w:t>
      </w:r>
      <w:r w:rsidR="00646711">
        <w:rPr>
          <w:rFonts w:eastAsia="-webkit-standard" w:cs="-webkit-standard"/>
          <w:sz w:val="22"/>
          <w:szCs w:val="22"/>
        </w:rPr>
        <w:t>proyecto</w:t>
      </w:r>
      <w:r w:rsidRPr="00E248C2">
        <w:rPr>
          <w:rFonts w:eastAsia="-webkit-standard" w:cs="-webkit-standard"/>
          <w:sz w:val="22"/>
          <w:szCs w:val="22"/>
        </w:rPr>
        <w:t xml:space="preserve"> garantizando la trazabilidad, oportunidad y calidad de la información. Sus actividades comprenden la revisión y seguimiento de los informes de actividades de los contratistas, la consolidación de información para la elaboración de reportes a presentar en la Plataforma Integrada de Inversión Pública (PIIP), el Plan de Acción Institucional (PAI) y demás informes que se soliciten en virtud de necesidades de información sobre la ejecución contractual y administrativa del equipo del programa, incluyendo la verificación de estados de pago en NEON y la consolidación de las evidencias de gestión de los demás frentes de trabajo.</w:t>
      </w:r>
    </w:p>
    <w:p w14:paraId="62548CD8" w14:textId="0780E6D3" w:rsidR="00E248C2" w:rsidRPr="00732E83" w:rsidRDefault="00E248C2" w:rsidP="00732E83">
      <w:pPr>
        <w:pStyle w:val="Ttulo2"/>
        <w:rPr>
          <w:b/>
          <w:bCs/>
          <w:color w:val="auto"/>
          <w:sz w:val="22"/>
          <w:szCs w:val="22"/>
        </w:rPr>
      </w:pPr>
      <w:bookmarkStart w:id="6" w:name="_Toc233023685"/>
      <w:r w:rsidRPr="00316EFC">
        <w:rPr>
          <w:b/>
          <w:color w:val="auto"/>
          <w:sz w:val="22"/>
          <w:szCs w:val="22"/>
        </w:rPr>
        <w:t>3.2. Frente Jurídico de Derechos de Petición</w:t>
      </w:r>
      <w:bookmarkEnd w:id="6"/>
    </w:p>
    <w:p w14:paraId="499312D2" w14:textId="5AF03261"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tiene como propósito garantizar la atención oportuna y conforme a la normatividad vigente de los derechos de petición, solicitudes, requerimientos y demás comunicaciones oficiales dirigidos a la Dirección de Energía Eléctrica (DEE) del Ministerio de Minas y Energía con relación al </w:t>
      </w:r>
      <w:r w:rsidR="00E03F8E">
        <w:rPr>
          <w:rFonts w:eastAsia="-webkit-standard" w:cs="-webkit-standard"/>
          <w:sz w:val="22"/>
          <w:szCs w:val="22"/>
        </w:rPr>
        <w:t>proyecto</w:t>
      </w:r>
      <w:r w:rsidRPr="00E248C2">
        <w:rPr>
          <w:rFonts w:eastAsia="-webkit-standard" w:cs="-webkit-standard"/>
          <w:sz w:val="22"/>
          <w:szCs w:val="22"/>
        </w:rPr>
        <w:t xml:space="preserve"> Colombia Solar. Para ello coordina la asignación de responsabilidades mediante el sistema de gestión documental ARGO, realiza seguimiento al cumplimiento de los términos legales, articula la participación de los diferentes responsables técnicos y jurídicos involucrados en cada respuesta y entrega lineamientos en materia de </w:t>
      </w:r>
      <w:r w:rsidR="00AD5C48">
        <w:rPr>
          <w:rFonts w:eastAsia="-webkit-standard" w:cs="-webkit-standard"/>
          <w:sz w:val="22"/>
          <w:szCs w:val="22"/>
        </w:rPr>
        <w:t xml:space="preserve">proyección y atención a los </w:t>
      </w:r>
      <w:r w:rsidRPr="00E248C2">
        <w:rPr>
          <w:rFonts w:eastAsia="-webkit-standard" w:cs="-webkit-standard"/>
          <w:sz w:val="22"/>
          <w:szCs w:val="22"/>
        </w:rPr>
        <w:t>derechos de petición.</w:t>
      </w:r>
    </w:p>
    <w:p w14:paraId="562BC360" w14:textId="3432A4CC" w:rsidR="00E248C2" w:rsidRPr="00732E83" w:rsidRDefault="00C7572B" w:rsidP="00732E83">
      <w:pPr>
        <w:pStyle w:val="Ttulo2"/>
        <w:rPr>
          <w:b/>
          <w:sz w:val="22"/>
          <w:szCs w:val="22"/>
        </w:rPr>
      </w:pPr>
      <w:bookmarkStart w:id="7" w:name="_Toc233023686"/>
      <w:r w:rsidRPr="5FD3B07F">
        <w:rPr>
          <w:b/>
          <w:color w:val="auto"/>
          <w:sz w:val="22"/>
          <w:szCs w:val="22"/>
        </w:rPr>
        <w:t xml:space="preserve">3.3. </w:t>
      </w:r>
      <w:r w:rsidR="00E248C2" w:rsidRPr="5FD3B07F">
        <w:rPr>
          <w:b/>
          <w:color w:val="auto"/>
          <w:sz w:val="22"/>
          <w:szCs w:val="22"/>
        </w:rPr>
        <w:t>Frente Regulatorio y Normativo</w:t>
      </w:r>
      <w:bookmarkEnd w:id="7"/>
    </w:p>
    <w:p w14:paraId="67F30B65" w14:textId="4016C3BE"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lidera la estructuración jurídica y regulatoria que soporta la implementación del </w:t>
      </w:r>
      <w:r w:rsidR="00716B3E">
        <w:rPr>
          <w:rFonts w:eastAsia="-webkit-standard" w:cs="-webkit-standard"/>
          <w:sz w:val="22"/>
          <w:szCs w:val="22"/>
        </w:rPr>
        <w:t>proyecto</w:t>
      </w:r>
      <w:r w:rsidRPr="00E248C2">
        <w:rPr>
          <w:rFonts w:eastAsia="-webkit-standard" w:cs="-webkit-standard"/>
          <w:sz w:val="22"/>
          <w:szCs w:val="22"/>
        </w:rPr>
        <w:t xml:space="preserve"> Colombia Solar. Sus funciones incluyen la articulación con equipos jurídicos y técnicos para la elaboración de los instrumentos normativos, conceptos jurídicos, propuestas regulatorias y esquemas de </w:t>
      </w:r>
      <w:r w:rsidR="009C1043">
        <w:rPr>
          <w:rFonts w:eastAsia="-webkit-standard" w:cs="-webkit-standard"/>
          <w:sz w:val="22"/>
          <w:szCs w:val="22"/>
        </w:rPr>
        <w:t>sostenibilidad</w:t>
      </w:r>
      <w:r w:rsidRPr="00E248C2">
        <w:rPr>
          <w:rFonts w:eastAsia="-webkit-standard" w:cs="-webkit-standard"/>
          <w:sz w:val="22"/>
          <w:szCs w:val="22"/>
        </w:rPr>
        <w:t xml:space="preserve"> que se requieren para el funcionamiento del programa y su formalización normativa. Adicionalmente, consolida la trazabilidad de las discusiones reglamentarias necesarias en materia de viabilidad jurídica y regulatoria de las diferentes modalidades de implementación del programa.</w:t>
      </w:r>
    </w:p>
    <w:p w14:paraId="2B11CFD2" w14:textId="26A3D23D" w:rsidR="00E248C2" w:rsidRPr="00732E83" w:rsidRDefault="00C7572B" w:rsidP="00732E83">
      <w:pPr>
        <w:pStyle w:val="Ttulo2"/>
        <w:rPr>
          <w:b/>
          <w:bCs/>
          <w:color w:val="auto"/>
          <w:sz w:val="22"/>
          <w:szCs w:val="22"/>
        </w:rPr>
      </w:pPr>
      <w:bookmarkStart w:id="8" w:name="_Toc233023687"/>
      <w:r w:rsidRPr="00316EFC">
        <w:rPr>
          <w:b/>
          <w:color w:val="auto"/>
          <w:sz w:val="22"/>
          <w:szCs w:val="22"/>
        </w:rPr>
        <w:t xml:space="preserve">3.4. </w:t>
      </w:r>
      <w:r w:rsidR="00E248C2" w:rsidRPr="00316EFC">
        <w:rPr>
          <w:b/>
          <w:color w:val="auto"/>
          <w:sz w:val="22"/>
          <w:szCs w:val="22"/>
        </w:rPr>
        <w:t>Frente Financiero – Proyecto de Inversión</w:t>
      </w:r>
      <w:bookmarkEnd w:id="8"/>
    </w:p>
    <w:p w14:paraId="655E65E2" w14:textId="1E8E7A34"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es responsable del seguimiento y control financiero del </w:t>
      </w:r>
      <w:r w:rsidR="009C1043">
        <w:rPr>
          <w:rFonts w:eastAsia="-webkit-standard" w:cs="-webkit-standard"/>
          <w:sz w:val="22"/>
          <w:szCs w:val="22"/>
        </w:rPr>
        <w:t>proyecto</w:t>
      </w:r>
      <w:r w:rsidRPr="00E248C2">
        <w:rPr>
          <w:rFonts w:eastAsia="-webkit-standard" w:cs="-webkit-standard"/>
          <w:sz w:val="22"/>
          <w:szCs w:val="22"/>
        </w:rPr>
        <w:t>. Su labor comprende la actualización y ajuste permanente del Proyecto de Inversión, el seguimiento a la ejecución presupuestal y el análisis financiero para escenarios de expansión del programa. Su objetivo es revisar los recursos en aras a lograr la sostenibilidad financiera del programa para el cumplimiento de las metas establecidas. Dentro de sus actividades se encuentran la reestructuración de vigencias futuras, la elaboración de estudios sectoriales y de mercado, el análisis de costos, la elaboración de los flujos de caja AOM y los informes de ejecución presupuestal.</w:t>
      </w:r>
    </w:p>
    <w:p w14:paraId="0FEBF8B2" w14:textId="617F4457" w:rsidR="00E248C2" w:rsidRPr="00732E83" w:rsidRDefault="00C7572B" w:rsidP="00732E83">
      <w:pPr>
        <w:pStyle w:val="Ttulo2"/>
        <w:rPr>
          <w:b/>
          <w:bCs/>
          <w:color w:val="auto"/>
          <w:sz w:val="22"/>
          <w:szCs w:val="22"/>
        </w:rPr>
      </w:pPr>
      <w:bookmarkStart w:id="9" w:name="_Toc233023688"/>
      <w:r w:rsidRPr="00316EFC">
        <w:rPr>
          <w:b/>
          <w:color w:val="auto"/>
          <w:sz w:val="22"/>
          <w:szCs w:val="22"/>
        </w:rPr>
        <w:lastRenderedPageBreak/>
        <w:t xml:space="preserve">3.5. </w:t>
      </w:r>
      <w:r w:rsidR="00E248C2" w:rsidRPr="00316EFC">
        <w:rPr>
          <w:b/>
          <w:color w:val="auto"/>
          <w:sz w:val="22"/>
          <w:szCs w:val="22"/>
        </w:rPr>
        <w:t>Frente Metodológico</w:t>
      </w:r>
      <w:bookmarkEnd w:id="9"/>
    </w:p>
    <w:p w14:paraId="6AB074C4" w14:textId="5C5648CA"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lidera el diseño y consolidación de los documentos técnicos y metodológicos requeridos para la implementación del </w:t>
      </w:r>
      <w:r w:rsidR="00063319">
        <w:rPr>
          <w:rFonts w:eastAsia="-webkit-standard" w:cs="-webkit-standard"/>
          <w:sz w:val="22"/>
          <w:szCs w:val="22"/>
        </w:rPr>
        <w:t>proyecto</w:t>
      </w:r>
      <w:r w:rsidRPr="00E248C2">
        <w:rPr>
          <w:rFonts w:eastAsia="-webkit-standard" w:cs="-webkit-standard"/>
          <w:sz w:val="22"/>
          <w:szCs w:val="22"/>
        </w:rPr>
        <w:t xml:space="preserve">. Entre sus responsabilidades se encuentra la elaboración de estudios territoriales, documentos técnicos, metodologías de intervención y lineamientos operativos que puedan orientar la ejecución de las diferentes actividades de Colombia Solar en los territorios. </w:t>
      </w:r>
    </w:p>
    <w:p w14:paraId="6ABD9B2D" w14:textId="6EDF3815" w:rsidR="00E248C2" w:rsidRPr="00732E83" w:rsidRDefault="00C7572B" w:rsidP="00732E83">
      <w:pPr>
        <w:pStyle w:val="Ttulo2"/>
        <w:rPr>
          <w:b/>
          <w:bCs/>
          <w:color w:val="auto"/>
          <w:sz w:val="22"/>
          <w:szCs w:val="22"/>
        </w:rPr>
      </w:pPr>
      <w:bookmarkStart w:id="10" w:name="_Toc233023689"/>
      <w:r w:rsidRPr="00316EFC">
        <w:rPr>
          <w:b/>
          <w:color w:val="auto"/>
          <w:sz w:val="22"/>
          <w:szCs w:val="22"/>
        </w:rPr>
        <w:t xml:space="preserve">3.6. </w:t>
      </w:r>
      <w:r w:rsidR="00E248C2" w:rsidRPr="00316EFC">
        <w:rPr>
          <w:b/>
          <w:color w:val="auto"/>
          <w:sz w:val="22"/>
          <w:szCs w:val="22"/>
        </w:rPr>
        <w:t>Frente Social y Relacionamiento Territorial</w:t>
      </w:r>
      <w:bookmarkEnd w:id="10"/>
    </w:p>
    <w:p w14:paraId="06F7047D" w14:textId="4314332F" w:rsidR="00E248C2" w:rsidRPr="00E248C2" w:rsidRDefault="00E248C2" w:rsidP="00E248C2">
      <w:pPr>
        <w:jc w:val="both"/>
        <w:rPr>
          <w:rFonts w:eastAsia="-webkit-standard" w:cs="-webkit-standard"/>
          <w:sz w:val="22"/>
          <w:szCs w:val="22"/>
        </w:rPr>
      </w:pPr>
      <w:r w:rsidRPr="1851B6DD">
        <w:rPr>
          <w:rFonts w:eastAsia="-webkit-standard" w:cs="-webkit-standard"/>
          <w:sz w:val="22"/>
          <w:szCs w:val="22"/>
        </w:rPr>
        <w:t xml:space="preserve">Este frente tiene como finalidad fortalecer la articulación con las comunidades beneficiarias y asegurar la adecuada implementación de las estrategias sociales pactadas. Sus actividades incluyen el acompañamiento a los </w:t>
      </w:r>
      <w:proofErr w:type="spellStart"/>
      <w:r w:rsidRPr="1851B6DD">
        <w:rPr>
          <w:rFonts w:eastAsia="-webkit-standard" w:cs="-webkit-standard"/>
          <w:sz w:val="22"/>
          <w:szCs w:val="22"/>
        </w:rPr>
        <w:t>pr</w:t>
      </w:r>
      <w:proofErr w:type="spellEnd"/>
      <w:r>
        <w:tab/>
      </w:r>
      <w:proofErr w:type="spellStart"/>
      <w:r w:rsidRPr="1851B6DD">
        <w:rPr>
          <w:rFonts w:eastAsia="-webkit-standard" w:cs="-webkit-standard"/>
          <w:sz w:val="22"/>
          <w:szCs w:val="22"/>
        </w:rPr>
        <w:t>ocesos</w:t>
      </w:r>
      <w:proofErr w:type="spellEnd"/>
      <w:r w:rsidRPr="1851B6DD">
        <w:rPr>
          <w:rFonts w:eastAsia="-webkit-standard" w:cs="-webkit-standard"/>
          <w:sz w:val="22"/>
          <w:szCs w:val="22"/>
        </w:rPr>
        <w:t xml:space="preserve"> de socialización territorial, el seguimiento al cumplimiento de los componentes sociales establecidos en </w:t>
      </w:r>
      <w:r w:rsidR="009677B7" w:rsidRPr="1851B6DD">
        <w:rPr>
          <w:rFonts w:eastAsia="-webkit-standard" w:cs="-webkit-standard"/>
          <w:sz w:val="22"/>
          <w:szCs w:val="22"/>
        </w:rPr>
        <w:t>el contrato</w:t>
      </w:r>
      <w:r w:rsidRPr="1851B6DD">
        <w:rPr>
          <w:rFonts w:eastAsia="-webkit-standard" w:cs="-webkit-standard"/>
          <w:sz w:val="22"/>
          <w:szCs w:val="22"/>
        </w:rPr>
        <w:t xml:space="preserve"> suscrito con </w:t>
      </w:r>
      <w:r w:rsidR="009677B7" w:rsidRPr="1851B6DD">
        <w:rPr>
          <w:rFonts w:eastAsia="-webkit-standard" w:cs="-webkit-standard"/>
          <w:sz w:val="22"/>
          <w:szCs w:val="22"/>
        </w:rPr>
        <w:t xml:space="preserve">GECELCA y el convenio interadministrativo suscrito con </w:t>
      </w:r>
      <w:r w:rsidRPr="1851B6DD">
        <w:rPr>
          <w:rFonts w:eastAsia="-webkit-standard" w:cs="-webkit-standard"/>
          <w:sz w:val="22"/>
          <w:szCs w:val="22"/>
        </w:rPr>
        <w:t>FENOGE, la coordinación de actividades de participación social</w:t>
      </w:r>
      <w:r w:rsidR="00100121" w:rsidRPr="1851B6DD">
        <w:rPr>
          <w:rFonts w:eastAsia="-webkit-standard" w:cs="-webkit-standard"/>
          <w:sz w:val="22"/>
          <w:szCs w:val="22"/>
        </w:rPr>
        <w:t xml:space="preserve"> y</w:t>
      </w:r>
      <w:r w:rsidRPr="1851B6DD">
        <w:rPr>
          <w:rFonts w:eastAsia="-webkit-standard" w:cs="-webkit-standard"/>
          <w:sz w:val="22"/>
          <w:szCs w:val="22"/>
        </w:rPr>
        <w:t xml:space="preserve"> la gestión de relacionamiento con actores territoriales</w:t>
      </w:r>
      <w:r w:rsidR="00100121" w:rsidRPr="1851B6DD">
        <w:rPr>
          <w:rFonts w:eastAsia="-webkit-standard" w:cs="-webkit-standard"/>
          <w:sz w:val="22"/>
          <w:szCs w:val="22"/>
        </w:rPr>
        <w:t>.</w:t>
      </w:r>
      <w:r w:rsidRPr="1851B6DD">
        <w:rPr>
          <w:rFonts w:eastAsia="-webkit-standard" w:cs="-webkit-standard"/>
          <w:sz w:val="22"/>
          <w:szCs w:val="22"/>
        </w:rPr>
        <w:t xml:space="preserve"> </w:t>
      </w:r>
    </w:p>
    <w:p w14:paraId="33BBBED2" w14:textId="12AE778B" w:rsidR="00E248C2" w:rsidRPr="00732E83" w:rsidRDefault="00C7572B" w:rsidP="00732E83">
      <w:pPr>
        <w:pStyle w:val="Ttulo2"/>
        <w:rPr>
          <w:b/>
          <w:bCs/>
          <w:color w:val="auto"/>
          <w:sz w:val="22"/>
          <w:szCs w:val="22"/>
        </w:rPr>
      </w:pPr>
      <w:bookmarkStart w:id="11" w:name="_Toc233023690"/>
      <w:r w:rsidRPr="00316EFC">
        <w:rPr>
          <w:b/>
          <w:color w:val="auto"/>
          <w:sz w:val="22"/>
          <w:szCs w:val="22"/>
        </w:rPr>
        <w:t xml:space="preserve">3.7. </w:t>
      </w:r>
      <w:r w:rsidR="00E248C2" w:rsidRPr="00316EFC">
        <w:rPr>
          <w:b/>
          <w:color w:val="auto"/>
          <w:sz w:val="22"/>
          <w:szCs w:val="22"/>
        </w:rPr>
        <w:t>Frente de Indicadores Colombia Solar</w:t>
      </w:r>
      <w:bookmarkEnd w:id="11"/>
    </w:p>
    <w:p w14:paraId="44944E3D" w14:textId="4619AAA5"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Este frente es responsable de consolidar, validar y reportar la información relacionada con los indicadores estratégicos del pro</w:t>
      </w:r>
      <w:r w:rsidR="006163B3">
        <w:rPr>
          <w:rFonts w:eastAsia="-webkit-standard" w:cs="-webkit-standard"/>
          <w:sz w:val="22"/>
          <w:szCs w:val="22"/>
        </w:rPr>
        <w:t>yecto</w:t>
      </w:r>
      <w:r w:rsidRPr="00E248C2">
        <w:rPr>
          <w:rFonts w:eastAsia="-webkit-standard" w:cs="-webkit-standard"/>
          <w:sz w:val="22"/>
          <w:szCs w:val="22"/>
        </w:rPr>
        <w:t xml:space="preserve">. Entre sus funciones se encuentra la articulación de los avances reportados por los </w:t>
      </w:r>
      <w:r w:rsidR="006163B3">
        <w:rPr>
          <w:rFonts w:eastAsia="-webkit-standard" w:cs="-webkit-standard"/>
          <w:sz w:val="22"/>
          <w:szCs w:val="22"/>
        </w:rPr>
        <w:t>ejecutores con relación a la implementación de las soluciones fotovoltaicas y la producción documental requerida</w:t>
      </w:r>
      <w:r w:rsidR="001C5B3C">
        <w:rPr>
          <w:rFonts w:eastAsia="-webkit-standard" w:cs="-webkit-standard"/>
          <w:sz w:val="22"/>
          <w:szCs w:val="22"/>
        </w:rPr>
        <w:t xml:space="preserve"> </w:t>
      </w:r>
      <w:r w:rsidRPr="00E248C2">
        <w:rPr>
          <w:rFonts w:eastAsia="-webkit-standard" w:cs="-webkit-standard"/>
          <w:sz w:val="22"/>
          <w:szCs w:val="22"/>
        </w:rPr>
        <w:t>en concordancia con las metas establecidas en el Plan de Acción Institucional</w:t>
      </w:r>
      <w:r w:rsidR="001C5B3C">
        <w:rPr>
          <w:rFonts w:eastAsia="-webkit-standard" w:cs="-webkit-standard"/>
          <w:sz w:val="22"/>
          <w:szCs w:val="22"/>
        </w:rPr>
        <w:t xml:space="preserve"> y la ficha de proyecto</w:t>
      </w:r>
      <w:r w:rsidRPr="00E248C2">
        <w:rPr>
          <w:rFonts w:eastAsia="-webkit-standard" w:cs="-webkit-standard"/>
          <w:sz w:val="22"/>
          <w:szCs w:val="22"/>
        </w:rPr>
        <w:t xml:space="preserve">. </w:t>
      </w:r>
    </w:p>
    <w:p w14:paraId="66B86D43" w14:textId="5826E1B9" w:rsidR="00E248C2" w:rsidRPr="00732E83" w:rsidRDefault="00E427EC" w:rsidP="00732E83">
      <w:pPr>
        <w:pStyle w:val="Ttulo2"/>
        <w:rPr>
          <w:b/>
          <w:bCs/>
          <w:color w:val="auto"/>
          <w:sz w:val="22"/>
          <w:szCs w:val="22"/>
        </w:rPr>
      </w:pPr>
      <w:bookmarkStart w:id="12" w:name="_Toc233023692"/>
      <w:r w:rsidRPr="00316EFC">
        <w:rPr>
          <w:b/>
          <w:color w:val="auto"/>
          <w:sz w:val="22"/>
          <w:szCs w:val="22"/>
        </w:rPr>
        <w:t>3.</w:t>
      </w:r>
      <w:r w:rsidR="000A6112">
        <w:rPr>
          <w:b/>
          <w:color w:val="auto"/>
          <w:sz w:val="22"/>
          <w:szCs w:val="22"/>
        </w:rPr>
        <w:t>8</w:t>
      </w:r>
      <w:r w:rsidRPr="00316EFC">
        <w:rPr>
          <w:b/>
          <w:color w:val="auto"/>
          <w:sz w:val="22"/>
          <w:szCs w:val="22"/>
        </w:rPr>
        <w:t xml:space="preserve">. </w:t>
      </w:r>
      <w:r w:rsidR="00E248C2" w:rsidRPr="00316EFC">
        <w:rPr>
          <w:b/>
          <w:color w:val="auto"/>
          <w:sz w:val="22"/>
          <w:szCs w:val="22"/>
        </w:rPr>
        <w:t>Frente Técnico General</w:t>
      </w:r>
      <w:bookmarkEnd w:id="12"/>
    </w:p>
    <w:p w14:paraId="45358C16" w14:textId="07CB0ECF" w:rsidR="00F04D8A" w:rsidRPr="00E248C2" w:rsidRDefault="00E248C2" w:rsidP="00F04D8A">
      <w:pPr>
        <w:jc w:val="both"/>
        <w:rPr>
          <w:rFonts w:eastAsia="-webkit-standard" w:cs="-webkit-standard"/>
          <w:sz w:val="22"/>
          <w:szCs w:val="22"/>
        </w:rPr>
      </w:pPr>
      <w:r w:rsidRPr="00E248C2">
        <w:rPr>
          <w:rFonts w:eastAsia="-webkit-standard" w:cs="-webkit-standard"/>
          <w:sz w:val="22"/>
          <w:szCs w:val="22"/>
        </w:rPr>
        <w:t>Este frente proporciona soporte técnico especializado para las actividades relacionadas con el análisis de información, selección muestral, focalización de beneficiarios y gestión de datos estratégicos del programa</w:t>
      </w:r>
      <w:r w:rsidR="00F04D8A">
        <w:rPr>
          <w:rFonts w:eastAsia="-webkit-standard" w:cs="-webkit-standard"/>
          <w:sz w:val="22"/>
          <w:szCs w:val="22"/>
        </w:rPr>
        <w:t xml:space="preserve">, </w:t>
      </w:r>
      <w:r w:rsidR="00F04D8A" w:rsidRPr="00E248C2">
        <w:rPr>
          <w:rFonts w:eastAsia="-webkit-standard" w:cs="-webkit-standard"/>
          <w:sz w:val="22"/>
          <w:szCs w:val="22"/>
        </w:rPr>
        <w:t>el análisis de bases de datos, la validación de criterios de focalización y el apoyo técnico a los procesos de caracterización y selección de potenciales beneficiarios</w:t>
      </w:r>
      <w:r w:rsidR="00E5736E">
        <w:rPr>
          <w:rFonts w:eastAsia="-webkit-standard" w:cs="-webkit-standard"/>
          <w:sz w:val="22"/>
          <w:szCs w:val="22"/>
        </w:rPr>
        <w:t xml:space="preserve"> así como los ejercicios de articulación con las entidades como el DANE y la SSPD con relación al acceso y disponibilidad de los datos</w:t>
      </w:r>
      <w:r w:rsidR="00F04D8A" w:rsidRPr="00E248C2">
        <w:rPr>
          <w:rFonts w:eastAsia="-webkit-standard" w:cs="-webkit-standard"/>
          <w:sz w:val="22"/>
          <w:szCs w:val="22"/>
        </w:rPr>
        <w:t>.</w:t>
      </w:r>
    </w:p>
    <w:p w14:paraId="30A70551" w14:textId="66F4C7ED" w:rsidR="00E248C2" w:rsidRPr="00732E83" w:rsidRDefault="00E427EC" w:rsidP="00732E83">
      <w:pPr>
        <w:pStyle w:val="Ttulo2"/>
        <w:rPr>
          <w:b/>
          <w:bCs/>
          <w:color w:val="auto"/>
          <w:sz w:val="22"/>
          <w:szCs w:val="22"/>
        </w:rPr>
      </w:pPr>
      <w:bookmarkStart w:id="13" w:name="_Toc233023693"/>
      <w:r w:rsidRPr="00316EFC">
        <w:rPr>
          <w:b/>
          <w:color w:val="auto"/>
          <w:sz w:val="22"/>
          <w:szCs w:val="22"/>
        </w:rPr>
        <w:t>3.</w:t>
      </w:r>
      <w:r w:rsidR="00D17C3B">
        <w:rPr>
          <w:b/>
          <w:color w:val="auto"/>
          <w:sz w:val="22"/>
          <w:szCs w:val="22"/>
        </w:rPr>
        <w:t>9</w:t>
      </w:r>
      <w:r w:rsidRPr="00316EFC">
        <w:rPr>
          <w:b/>
          <w:color w:val="auto"/>
          <w:sz w:val="22"/>
          <w:szCs w:val="22"/>
        </w:rPr>
        <w:t xml:space="preserve">. </w:t>
      </w:r>
      <w:r w:rsidR="00E248C2" w:rsidRPr="00316EFC">
        <w:rPr>
          <w:b/>
          <w:color w:val="auto"/>
          <w:sz w:val="22"/>
          <w:szCs w:val="22"/>
        </w:rPr>
        <w:t>Frente Jurídico Contractual FENOGE y GECELCA</w:t>
      </w:r>
      <w:bookmarkEnd w:id="13"/>
    </w:p>
    <w:p w14:paraId="1283C773" w14:textId="1F5572B9" w:rsidR="00E248C2" w:rsidRPr="00E248C2" w:rsidRDefault="00E248C2" w:rsidP="00E248C2">
      <w:pPr>
        <w:jc w:val="both"/>
        <w:rPr>
          <w:rFonts w:eastAsia="-webkit-standard" w:cs="-webkit-standard"/>
          <w:sz w:val="22"/>
          <w:szCs w:val="22"/>
        </w:rPr>
      </w:pPr>
      <w:r w:rsidRPr="00E248C2">
        <w:rPr>
          <w:rFonts w:eastAsia="-webkit-standard" w:cs="-webkit-standard"/>
          <w:sz w:val="22"/>
          <w:szCs w:val="22"/>
        </w:rPr>
        <w:t xml:space="preserve">Este frente realiza el seguimiento jurídico a las obligaciones contractuales de FENOGE y GECELCA para la ejecución del </w:t>
      </w:r>
      <w:r w:rsidR="001526E3">
        <w:rPr>
          <w:rFonts w:eastAsia="-webkit-standard" w:cs="-webkit-standard"/>
          <w:sz w:val="22"/>
          <w:szCs w:val="22"/>
        </w:rPr>
        <w:t>proyecto</w:t>
      </w:r>
      <w:r w:rsidRPr="00E248C2">
        <w:rPr>
          <w:rFonts w:eastAsia="-webkit-standard" w:cs="-webkit-standard"/>
          <w:sz w:val="22"/>
          <w:szCs w:val="22"/>
        </w:rPr>
        <w:t xml:space="preserve">. Sus actividades incluyen el análisis jurídico de los instrumentos contractuales, la emisión de conceptos o determinaciones jurídicas que se requieran desde el MME para FENOGE y GECELCA con la interpretación normativa aplicable, la identificación de riesgos legales y la formulación de recomendaciones a que haya lugar. </w:t>
      </w:r>
    </w:p>
    <w:p w14:paraId="59C6AAA1" w14:textId="4FB78320" w:rsidR="001A0CCC" w:rsidRDefault="001A0CCC">
      <w:pPr>
        <w:pStyle w:val="Ttulo1"/>
        <w:jc w:val="both"/>
        <w:rPr>
          <w:b/>
          <w:bCs/>
          <w:color w:val="auto"/>
          <w:sz w:val="22"/>
          <w:szCs w:val="22"/>
        </w:rPr>
      </w:pPr>
      <w:bookmarkStart w:id="14" w:name="_Toc233023696"/>
      <w:r w:rsidRPr="00732E83">
        <w:rPr>
          <w:b/>
          <w:bCs/>
          <w:color w:val="auto"/>
          <w:sz w:val="22"/>
          <w:szCs w:val="22"/>
        </w:rPr>
        <w:t xml:space="preserve">4. AVANCES </w:t>
      </w:r>
      <w:r w:rsidR="0028108D" w:rsidRPr="00732E83">
        <w:rPr>
          <w:b/>
          <w:bCs/>
          <w:color w:val="auto"/>
          <w:sz w:val="22"/>
          <w:szCs w:val="22"/>
        </w:rPr>
        <w:t>POR FRENTE DE TRABAJO</w:t>
      </w:r>
      <w:bookmarkEnd w:id="14"/>
    </w:p>
    <w:p w14:paraId="53B73ED1" w14:textId="77777777" w:rsidR="00DC2178" w:rsidRDefault="00DC2178" w:rsidP="00DC2178">
      <w:pPr>
        <w:spacing w:after="0"/>
      </w:pPr>
    </w:p>
    <w:p w14:paraId="18B249F7" w14:textId="77777777" w:rsidR="00DC2178" w:rsidRPr="0094003A" w:rsidRDefault="00DC2178" w:rsidP="00DD72F2">
      <w:pPr>
        <w:spacing w:line="276" w:lineRule="auto"/>
        <w:jc w:val="both"/>
        <w:rPr>
          <w:sz w:val="22"/>
          <w:szCs w:val="22"/>
        </w:rPr>
      </w:pPr>
      <w:r w:rsidRPr="0094003A">
        <w:rPr>
          <w:rFonts w:eastAsia="-webkit-standard" w:cs="-webkit-standard"/>
          <w:sz w:val="22"/>
          <w:szCs w:val="22"/>
        </w:rPr>
        <w:t xml:space="preserve">Durante los primeros meses de ejecución se han desarrollado acciones orientadas a la construcción de una arquitectura institucional de seguimiento. Entre ellas se encuentran la elaboración de matrices de control, la creación de repositorios documentales, la consolidación de informes de avance, la identificación de riesgos, el seguimiento a derechos de petición, la elaboración de documentos técnicos departamentales, la revisión de obligaciones contractuales, la articulación con operadores de red, la incorporación del componente </w:t>
      </w:r>
      <w:r w:rsidRPr="0094003A">
        <w:rPr>
          <w:rFonts w:eastAsia="-webkit-standard" w:cs="-webkit-standard"/>
          <w:sz w:val="22"/>
          <w:szCs w:val="22"/>
        </w:rPr>
        <w:lastRenderedPageBreak/>
        <w:t>ambiental y el fortalecimiento de los procesos de socialización comunitaria en territorios priorizados.</w:t>
      </w:r>
    </w:p>
    <w:p w14:paraId="31F9CFFB" w14:textId="4DFFFFAE" w:rsidR="00DC2178" w:rsidRDefault="00DC2178" w:rsidP="00DD72F2">
      <w:pPr>
        <w:spacing w:line="276" w:lineRule="auto"/>
        <w:jc w:val="both"/>
        <w:rPr>
          <w:rFonts w:eastAsia="-webkit-standard" w:cs="-webkit-standard"/>
          <w:sz w:val="22"/>
          <w:szCs w:val="22"/>
        </w:rPr>
      </w:pPr>
      <w:r w:rsidRPr="0094003A">
        <w:rPr>
          <w:rFonts w:eastAsia="-webkit-standard" w:cs="-webkit-standard"/>
          <w:sz w:val="22"/>
          <w:szCs w:val="22"/>
        </w:rPr>
        <w:t xml:space="preserve">En consecuencia, Colombia Solar debe entenderse como un programa de implementación progresiva, cuya sostenibilidad depende no solo de la instalación de soluciones solares fotovoltaicas, sino también de la capacidad institucional para </w:t>
      </w:r>
      <w:r w:rsidR="009A72B5">
        <w:rPr>
          <w:rFonts w:eastAsia="-webkit-standard" w:cs="-webkit-standard"/>
          <w:sz w:val="22"/>
          <w:szCs w:val="22"/>
        </w:rPr>
        <w:t xml:space="preserve">desarrollar acciones administrativas </w:t>
      </w:r>
      <w:r w:rsidR="00325F5A">
        <w:rPr>
          <w:rFonts w:eastAsia="-webkit-standard" w:cs="-webkit-standard"/>
          <w:sz w:val="22"/>
          <w:szCs w:val="22"/>
        </w:rPr>
        <w:t xml:space="preserve">que son transversales y brindan apoyo a la ejecución de las metas. </w:t>
      </w:r>
      <w:r w:rsidRPr="0094003A">
        <w:rPr>
          <w:rFonts w:eastAsia="-webkit-standard" w:cs="-webkit-standard"/>
          <w:sz w:val="22"/>
          <w:szCs w:val="22"/>
        </w:rPr>
        <w:t xml:space="preserve">El seguimiento semestral constituye, por tanto, una herramienta para consolidar evidencia, identificar brechas, orientar decisiones y </w:t>
      </w:r>
      <w:r w:rsidR="00F31A0B">
        <w:rPr>
          <w:rFonts w:eastAsia="-webkit-standard" w:cs="-webkit-standard"/>
          <w:sz w:val="22"/>
          <w:szCs w:val="22"/>
        </w:rPr>
        <w:t>conocer el estado de avance de todos los frentes del equipo que hace parte del proyecto Colombia Solar.</w:t>
      </w:r>
    </w:p>
    <w:p w14:paraId="7C942D57" w14:textId="4B5AB170" w:rsidR="00D3272B" w:rsidRPr="0094003A" w:rsidRDefault="00D3272B" w:rsidP="00D3272B">
      <w:pPr>
        <w:jc w:val="both"/>
        <w:rPr>
          <w:sz w:val="22"/>
          <w:szCs w:val="22"/>
        </w:rPr>
      </w:pPr>
      <w:r w:rsidRPr="0094003A">
        <w:rPr>
          <w:rFonts w:eastAsia="-webkit-standard" w:cs="-webkit-standard"/>
          <w:sz w:val="22"/>
          <w:szCs w:val="22"/>
        </w:rPr>
        <w:t xml:space="preserve">El seguimiento técnico del </w:t>
      </w:r>
      <w:r w:rsidR="00C77D6E">
        <w:rPr>
          <w:rFonts w:eastAsia="-webkit-standard" w:cs="-webkit-standard"/>
          <w:sz w:val="22"/>
          <w:szCs w:val="22"/>
        </w:rPr>
        <w:t>proyecto</w:t>
      </w:r>
      <w:r w:rsidRPr="0094003A">
        <w:rPr>
          <w:rFonts w:eastAsia="-webkit-standard" w:cs="-webkit-standard"/>
          <w:sz w:val="22"/>
          <w:szCs w:val="22"/>
        </w:rPr>
        <w:t xml:space="preserve"> durante el periodo analizado permite identificar avances diferenciados en dos dimensiones principales: por un lado, la consolidación de los procesos de focalización, selección muestral y depuración de información para la identificación de usuarios potenciales; y, por otro, el inicio de la ejecución física de soluciones solares fotovoltaicas en el territorio, particularmente en Villas de San Pablo, en la ciudad de Barranquilla.</w:t>
      </w:r>
    </w:p>
    <w:p w14:paraId="0CC24999" w14:textId="740727B5" w:rsidR="004F6799" w:rsidRDefault="00D3272B" w:rsidP="00C17C56">
      <w:pPr>
        <w:spacing w:after="0"/>
        <w:jc w:val="both"/>
        <w:rPr>
          <w:sz w:val="22"/>
          <w:szCs w:val="22"/>
        </w:rPr>
      </w:pPr>
      <w:r w:rsidRPr="1851B6DD">
        <w:rPr>
          <w:rFonts w:eastAsia="-webkit-standard" w:cs="-webkit-standard"/>
          <w:sz w:val="22"/>
          <w:szCs w:val="22"/>
        </w:rPr>
        <w:t xml:space="preserve">Desde el punto de vista de la política pública, estos avances son relevantes porque muestran el tránsito del programa desde una fase inicial de estructuración técnica, metodológica y documental hacia una fase de implementación territorial. No obstante, el seguimiento también </w:t>
      </w:r>
      <w:r w:rsidR="004F6799" w:rsidRPr="1851B6DD">
        <w:rPr>
          <w:rFonts w:eastAsia="-webkit-standard" w:cs="-webkit-standard"/>
          <w:sz w:val="22"/>
          <w:szCs w:val="22"/>
        </w:rPr>
        <w:t>se soporta en la supervisión de actividades administrativas y operativas que son transversales y necesarias para la alineación de las obligaciones contractuales de ca</w:t>
      </w:r>
      <w:r w:rsidR="3FA7914B" w:rsidRPr="1851B6DD">
        <w:rPr>
          <w:rFonts w:eastAsia="-webkit-standard" w:cs="-webkit-standard"/>
          <w:sz w:val="22"/>
          <w:szCs w:val="22"/>
        </w:rPr>
        <w:t>r</w:t>
      </w:r>
      <w:r w:rsidR="004F6799" w:rsidRPr="1851B6DD">
        <w:rPr>
          <w:rFonts w:eastAsia="-webkit-standard" w:cs="-webkit-standard"/>
          <w:sz w:val="22"/>
          <w:szCs w:val="22"/>
        </w:rPr>
        <w:t>a a la ejecución d</w:t>
      </w:r>
      <w:r w:rsidR="527DE801" w:rsidRPr="1851B6DD">
        <w:rPr>
          <w:rFonts w:eastAsia="-webkit-standard" w:cs="-webkit-standard"/>
          <w:sz w:val="22"/>
          <w:szCs w:val="22"/>
        </w:rPr>
        <w:t>e</w:t>
      </w:r>
      <w:r w:rsidR="004F6799" w:rsidRPr="1851B6DD">
        <w:rPr>
          <w:rFonts w:eastAsia="-webkit-standard" w:cs="-webkit-standard"/>
          <w:sz w:val="22"/>
          <w:szCs w:val="22"/>
        </w:rPr>
        <w:t xml:space="preserve">l proyecto. </w:t>
      </w:r>
    </w:p>
    <w:p w14:paraId="46B7C9D6" w14:textId="62DC4C5A" w:rsidR="0070591B" w:rsidRDefault="003C15EA" w:rsidP="00C17C56">
      <w:pPr>
        <w:pStyle w:val="Ttulo2"/>
        <w:spacing w:after="0"/>
        <w:rPr>
          <w:b/>
          <w:bCs/>
          <w:color w:val="auto"/>
          <w:sz w:val="22"/>
          <w:szCs w:val="22"/>
        </w:rPr>
      </w:pPr>
      <w:bookmarkStart w:id="15" w:name="_Toc233023697"/>
      <w:r w:rsidRPr="007201E6">
        <w:rPr>
          <w:b/>
          <w:bCs/>
          <w:color w:val="auto"/>
          <w:sz w:val="22"/>
          <w:szCs w:val="22"/>
        </w:rPr>
        <w:t>4.1. Frente Administrativo</w:t>
      </w:r>
      <w:bookmarkEnd w:id="15"/>
    </w:p>
    <w:p w14:paraId="53B8415F" w14:textId="77777777" w:rsidR="00C17C56" w:rsidRPr="00C17C56" w:rsidRDefault="00C17C56" w:rsidP="00C17C56">
      <w:pPr>
        <w:spacing w:after="0" w:line="240" w:lineRule="auto"/>
      </w:pPr>
    </w:p>
    <w:p w14:paraId="33046D68" w14:textId="73B22CB6" w:rsidR="00A2739A" w:rsidRDefault="005169A4" w:rsidP="1851B6DD">
      <w:pPr>
        <w:spacing w:after="0"/>
        <w:jc w:val="both"/>
        <w:rPr>
          <w:sz w:val="22"/>
          <w:szCs w:val="22"/>
          <w:lang w:val="es-CO"/>
        </w:rPr>
      </w:pPr>
      <w:r w:rsidRPr="1851B6DD">
        <w:rPr>
          <w:sz w:val="22"/>
          <w:szCs w:val="22"/>
          <w:lang w:val="es-CO"/>
        </w:rPr>
        <w:t>Con corte al periodo evaluado, se evidencia un avance significativo en la gestión administrativa asociada a la radicación de facturas y el trámite de pago de las 43 órdenes de prestación de servicios (OPS) registradas en la plataforma NEON. Para los meses de enero y febrero, el 100 % de las OPS alcanzó el estado "Aprobar y firmar orden de pago", reflejando un proceso de validación administrativa completamente surtido. En marzo, el avance se mantuvo en niveles óptimos, con el 99 % de las OPS en esta misma etapa. Para abril, se observa una evolución del proceso hacia las fases finales de pago, donde el 62 % de las OPS permanecía en "Aprobar y firmar orden de pago", mientras que el 32 % ya había avanzado al estado "Confirmar orden de pago exitosa, generar PDF y subir a NEON", correspondiente a la formalización y cierre del trámite administrativo.</w:t>
      </w:r>
      <w:r w:rsidR="149F30DC" w:rsidRPr="1851B6DD">
        <w:rPr>
          <w:sz w:val="22"/>
          <w:szCs w:val="22"/>
          <w:lang w:val="es-CO"/>
        </w:rPr>
        <w:t xml:space="preserve"> E</w:t>
      </w:r>
      <w:r w:rsidRPr="1851B6DD">
        <w:rPr>
          <w:sz w:val="22"/>
          <w:szCs w:val="22"/>
          <w:lang w:val="es-CO"/>
        </w:rPr>
        <w:t>n mayo se consolidó un progreso adicional, alcanzando que el 80 % de las OPS se encontraran en esta última etapa</w:t>
      </w:r>
      <w:r w:rsidR="349AA9BC" w:rsidRPr="1851B6DD">
        <w:rPr>
          <w:sz w:val="22"/>
          <w:szCs w:val="22"/>
          <w:lang w:val="es-CO"/>
        </w:rPr>
        <w:t xml:space="preserve">. Finalmente, en </w:t>
      </w:r>
      <w:proofErr w:type="gramStart"/>
      <w:r w:rsidR="349AA9BC" w:rsidRPr="1851B6DD">
        <w:rPr>
          <w:sz w:val="22"/>
          <w:szCs w:val="22"/>
          <w:lang w:val="es-CO"/>
        </w:rPr>
        <w:t>junio  se</w:t>
      </w:r>
      <w:proofErr w:type="gramEnd"/>
      <w:r w:rsidR="349AA9BC" w:rsidRPr="1851B6DD">
        <w:rPr>
          <w:sz w:val="22"/>
          <w:szCs w:val="22"/>
          <w:lang w:val="es-CO"/>
        </w:rPr>
        <w:t xml:space="preserve"> aumenta a un 93% </w:t>
      </w:r>
      <w:r w:rsidRPr="1851B6DD">
        <w:rPr>
          <w:sz w:val="22"/>
          <w:szCs w:val="22"/>
          <w:lang w:val="es-CO"/>
        </w:rPr>
        <w:t>lo que evidencia un fortalecimiento en la gestión administrativa, una mayor oportunidad en la radicación y procesamiento de las cuentas, y un avance sostenido hacia la culminación efectiva del ciclo de pago de los contratistas.</w:t>
      </w:r>
      <w:r w:rsidR="6C72D258" w:rsidRPr="1851B6DD">
        <w:rPr>
          <w:sz w:val="22"/>
          <w:szCs w:val="22"/>
          <w:lang w:val="es-CO"/>
        </w:rPr>
        <w:t xml:space="preserve"> </w:t>
      </w:r>
      <w:r w:rsidR="3017153C" w:rsidRPr="1851B6DD">
        <w:rPr>
          <w:sz w:val="22"/>
          <w:szCs w:val="22"/>
          <w:lang w:val="es-CO"/>
        </w:rPr>
        <w:t xml:space="preserve"> </w:t>
      </w:r>
    </w:p>
    <w:p w14:paraId="7283E2E1" w14:textId="77777777" w:rsidR="00CE4A4A" w:rsidRDefault="0070591B" w:rsidP="00CE4A4A">
      <w:pPr>
        <w:pStyle w:val="Ttulo2"/>
        <w:rPr>
          <w:b/>
          <w:bCs/>
          <w:color w:val="auto"/>
          <w:sz w:val="22"/>
          <w:szCs w:val="22"/>
        </w:rPr>
      </w:pPr>
      <w:bookmarkStart w:id="16" w:name="_Toc233023698"/>
      <w:r w:rsidRPr="00CE4A4A">
        <w:rPr>
          <w:b/>
          <w:bCs/>
          <w:color w:val="auto"/>
          <w:sz w:val="22"/>
          <w:szCs w:val="22"/>
        </w:rPr>
        <w:t>4.2. Frente Jurídico de Derechos de Petición</w:t>
      </w:r>
      <w:bookmarkEnd w:id="16"/>
    </w:p>
    <w:p w14:paraId="5591C9D2" w14:textId="20E870B5" w:rsidR="00A2739A" w:rsidRPr="00A2739A" w:rsidRDefault="00A2739A" w:rsidP="00A2739A">
      <w:pPr>
        <w:spacing w:line="276" w:lineRule="auto"/>
        <w:jc w:val="both"/>
        <w:rPr>
          <w:sz w:val="22"/>
          <w:szCs w:val="22"/>
        </w:rPr>
      </w:pPr>
      <w:r w:rsidRPr="00A2739A">
        <w:rPr>
          <w:sz w:val="22"/>
          <w:szCs w:val="22"/>
        </w:rPr>
        <w:t xml:space="preserve">Como parte de las actividades de fortalecimiento de la gestión administrativa y documental del Programa Colombia Solar, se consolidó un esquema de seguimiento integral para la administración de los derechos de petición y demás actuaciones administrativas, orientado a garantizar el cumplimiento de los principios de oportunidad, transparencia, trazabilidad y </w:t>
      </w:r>
      <w:r w:rsidRPr="00A2739A">
        <w:rPr>
          <w:sz w:val="22"/>
          <w:szCs w:val="22"/>
        </w:rPr>
        <w:lastRenderedPageBreak/>
        <w:t>servicio al ciudadano establecidos en los lineamientos institucionales del Ministerio de Minas y Energía.</w:t>
      </w:r>
    </w:p>
    <w:p w14:paraId="56DFD6E6" w14:textId="3FB3744B" w:rsidR="00A2739A" w:rsidRPr="00A2739A" w:rsidRDefault="00A2739A" w:rsidP="00A2739A">
      <w:pPr>
        <w:spacing w:line="276" w:lineRule="auto"/>
        <w:jc w:val="both"/>
        <w:rPr>
          <w:sz w:val="22"/>
          <w:szCs w:val="22"/>
        </w:rPr>
      </w:pPr>
      <w:r w:rsidRPr="00A2739A">
        <w:rPr>
          <w:sz w:val="22"/>
          <w:szCs w:val="22"/>
        </w:rPr>
        <w:t>Con corte al período de seguimiento, se registran 253 actuaciones administrativas asociadas al Programa Colombia Solar, las cuales fueron gestionadas mediante una matriz de control que permite realizar seguimiento desde la radicación de ingreso hasta el cierre definitivo del trámite, incorporando variables relacionadas con la asignación del responsable, control de términos, tipificación, estado del proceso, radicación de respuesta, traslados por competencia y observaciones, fortaleciendo así la trazabilidad y el control documental de cada expediente.</w:t>
      </w:r>
    </w:p>
    <w:p w14:paraId="252E836A" w14:textId="00945297" w:rsidR="00A2739A" w:rsidRPr="00A2739A" w:rsidRDefault="00A2739A" w:rsidP="00A2739A">
      <w:pPr>
        <w:spacing w:line="276" w:lineRule="auto"/>
        <w:jc w:val="both"/>
        <w:rPr>
          <w:sz w:val="22"/>
          <w:szCs w:val="22"/>
        </w:rPr>
      </w:pPr>
      <w:r w:rsidRPr="00A2739A">
        <w:rPr>
          <w:sz w:val="22"/>
          <w:szCs w:val="22"/>
        </w:rPr>
        <w:t>El análisis de la tipología de las solicitudes evidencia que la demanda de atención se concentra principalmente en las solicitudes de información, con 170 registros (67,2 %), lo que refleja el alto nivel de interés de ciudadanos, entidades territoriales, empresas y demás grupos de interés respecto al alcance, requisitos, cobertura y ejecución del Programa Colombia Solar. En segundo lugar, se encuentran las respuestas a comunicados, con 25 registros (9,9 %), seguidas por 23 actuaciones correspondientes a asignaciones a otras dependencias (9,1 %), lo que demuestra la articulación institucional requerida para atender asuntos cuya competencia involucra diferentes áreas del Ministerio. De igual forma, se gestionaron 13 estudios de proyecto (5,1 %), 8 traslados provenientes de Presidencia (3,2 %), 7 traslados por competencia (2,8 %), 5 programaciones de mesas de trabajo y reuniones (2,0 %) y 1 actuación derivada de una acción de tutela, evidenciando la diversidad de requerimientos administrativos asociados al desarrollo del programa.</w:t>
      </w:r>
    </w:p>
    <w:p w14:paraId="78A688F0" w14:textId="74DCA6AB" w:rsidR="00A2739A" w:rsidRPr="00A2739A" w:rsidRDefault="00A2739A" w:rsidP="00A2739A">
      <w:pPr>
        <w:spacing w:line="276" w:lineRule="auto"/>
        <w:jc w:val="both"/>
        <w:rPr>
          <w:sz w:val="22"/>
          <w:szCs w:val="22"/>
        </w:rPr>
      </w:pPr>
      <w:r w:rsidRPr="00A2739A">
        <w:rPr>
          <w:sz w:val="22"/>
          <w:szCs w:val="22"/>
        </w:rPr>
        <w:t>En cuanto al estado de las actuaciones, la gestión evidencia un alto nivel de resolución de los trámites, registrando 203 expedientes archivados (80,2 %), 18 actuaciones finalizadas (7,1 %) y únicamente 32 trámites pendientes de cierre (12,7 %), lo que demuestra una adecuada capacidad operativa para atender el volumen de solicitudes recibidas y mantener actualizado el ciclo documental de cada actuación administrativa.</w:t>
      </w:r>
    </w:p>
    <w:p w14:paraId="665F0992" w14:textId="771B97A5" w:rsidR="00A2739A" w:rsidRPr="00A2739A" w:rsidRDefault="00A2739A" w:rsidP="00A2739A">
      <w:pPr>
        <w:spacing w:line="276" w:lineRule="auto"/>
        <w:jc w:val="both"/>
        <w:rPr>
          <w:sz w:val="22"/>
          <w:szCs w:val="22"/>
        </w:rPr>
      </w:pPr>
      <w:r w:rsidRPr="00A2739A">
        <w:rPr>
          <w:sz w:val="22"/>
          <w:szCs w:val="22"/>
        </w:rPr>
        <w:t>Respecto al cumplimiento de los términos legales de respuesta, la información disponible muestra que 189 actuaciones fueron atendidas oportunamente, mientras que 8 registran respuesta fuera del término establecido, representando una proporción reducida frente al universo de solicitudes con evaluación de oportunidad. Estos resultados evidencian un desempeño favorable en la gestión de tiempos de respuesta y reflejan el fortalecimiento de los mecanismos de seguimiento implementados para el control de vencimientos, la generación de alertas tempranas y la priorización de los casos próximos a expirar.</w:t>
      </w:r>
    </w:p>
    <w:p w14:paraId="32FD82C3" w14:textId="478A389D" w:rsidR="00157FBB" w:rsidRPr="00A2739A" w:rsidRDefault="00A2739A" w:rsidP="00C17C56">
      <w:pPr>
        <w:spacing w:line="276" w:lineRule="auto"/>
        <w:jc w:val="both"/>
        <w:rPr>
          <w:sz w:val="22"/>
          <w:szCs w:val="22"/>
        </w:rPr>
      </w:pPr>
      <w:r w:rsidRPr="1851B6DD">
        <w:rPr>
          <w:sz w:val="22"/>
          <w:szCs w:val="22"/>
        </w:rPr>
        <w:t>En conjunto, estos resultados constituyen un avance significativo en la consolidación de la gestión documental y administrativa del Programa Colombia Solar, al contar con un sistema de seguimiento que permite mejorar la trazabilidad de las actuaciones, optimizar la coordinación entre las dependencias responsables, facilitar el control de los términos legales y fortalecer la capacidad institucional para brindar respuestas oportunas, técnicamente sustentadas y alineadas con los principios de eficiencia, transparencia y acceso a la información pública.</w:t>
      </w:r>
    </w:p>
    <w:p w14:paraId="221F9E4C" w14:textId="16495409" w:rsidR="00CE4A4A" w:rsidRDefault="00CE4A4A" w:rsidP="00CE4A4A">
      <w:pPr>
        <w:pStyle w:val="Ttulo2"/>
        <w:rPr>
          <w:b/>
          <w:bCs/>
          <w:color w:val="auto"/>
          <w:sz w:val="22"/>
          <w:szCs w:val="22"/>
        </w:rPr>
      </w:pPr>
      <w:bookmarkStart w:id="17" w:name="_Toc233023699"/>
      <w:r w:rsidRPr="00CE4A4A">
        <w:rPr>
          <w:b/>
          <w:bCs/>
          <w:color w:val="auto"/>
          <w:sz w:val="22"/>
          <w:szCs w:val="22"/>
        </w:rPr>
        <w:t>4.3. Frente Regulatorio y Normativo</w:t>
      </w:r>
      <w:bookmarkEnd w:id="17"/>
    </w:p>
    <w:p w14:paraId="3452D71D" w14:textId="77777777" w:rsidR="00767C1C" w:rsidRPr="00767C1C" w:rsidRDefault="00767C1C" w:rsidP="00767C1C">
      <w:pPr>
        <w:spacing w:after="0"/>
      </w:pPr>
    </w:p>
    <w:p w14:paraId="20FB97EB" w14:textId="50EE00C9" w:rsidR="00767C1C" w:rsidRPr="0094003A" w:rsidRDefault="00767C1C" w:rsidP="00767C1C">
      <w:pPr>
        <w:jc w:val="both"/>
        <w:rPr>
          <w:sz w:val="22"/>
          <w:szCs w:val="22"/>
        </w:rPr>
      </w:pPr>
      <w:r w:rsidRPr="0094003A">
        <w:rPr>
          <w:rFonts w:eastAsia="-webkit-standard" w:cs="-webkit-standard"/>
          <w:sz w:val="22"/>
          <w:szCs w:val="22"/>
        </w:rPr>
        <w:lastRenderedPageBreak/>
        <w:t xml:space="preserve">Durante el periodo objeto de seguimiento, el componente regulatorio y normativo avanzó en la estructuración jurídica y técnica de los instrumentos requeridos para la implementación del </w:t>
      </w:r>
      <w:r w:rsidR="00A736BB">
        <w:rPr>
          <w:rFonts w:eastAsia="-webkit-standard" w:cs="-webkit-standard"/>
          <w:sz w:val="22"/>
          <w:szCs w:val="22"/>
        </w:rPr>
        <w:t xml:space="preserve">proyecto </w:t>
      </w:r>
      <w:r w:rsidRPr="0094003A">
        <w:rPr>
          <w:rFonts w:eastAsia="-webkit-standard" w:cs="-webkit-standard"/>
          <w:sz w:val="22"/>
          <w:szCs w:val="22"/>
        </w:rPr>
        <w:t>Colombia Solar. Uno de los principales avances acumulados corresponde a la formulación y publicación de la Resolución 40159 del 16 de marzo de 2026,</w:t>
      </w:r>
      <w:r w:rsidR="00420712">
        <w:rPr>
          <w:rFonts w:eastAsia="-webkit-standard" w:cs="-webkit-standard"/>
          <w:sz w:val="22"/>
          <w:szCs w:val="22"/>
        </w:rPr>
        <w:t xml:space="preserve"> </w:t>
      </w:r>
      <w:r w:rsidR="00420712" w:rsidRPr="00B67440">
        <w:rPr>
          <w:rFonts w:eastAsia="-webkit-standard" w:cs="-webkit-standard"/>
          <w:sz w:val="22"/>
          <w:szCs w:val="22"/>
        </w:rPr>
        <w:t>“</w:t>
      </w:r>
      <w:r w:rsidR="00420712" w:rsidRPr="00B67440">
        <w:rPr>
          <w:rFonts w:eastAsia="-webkit-standard" w:cs="-webkit-standard"/>
          <w:i/>
          <w:iCs/>
          <w:sz w:val="22"/>
          <w:szCs w:val="22"/>
        </w:rPr>
        <w:t xml:space="preserve">Por la cual se reglamenta el artículo 2.2.3.2.4.17, 2.2.3.2.4.19 y 2.2.3.2.4.21 del Decreto 1073 de 2015 en lo relacionado con el Programa Colombia </w:t>
      </w:r>
      <w:r w:rsidR="00B67440" w:rsidRPr="00B67440">
        <w:rPr>
          <w:rFonts w:eastAsia="-webkit-standard" w:cs="-webkit-standard"/>
          <w:i/>
          <w:iCs/>
          <w:sz w:val="22"/>
          <w:szCs w:val="22"/>
        </w:rPr>
        <w:t xml:space="preserve">Solar” </w:t>
      </w:r>
      <w:r w:rsidR="00B67440" w:rsidRPr="00B67440">
        <w:rPr>
          <w:rFonts w:eastAsia="-webkit-standard" w:cs="-webkit-standard"/>
          <w:sz w:val="22"/>
          <w:szCs w:val="22"/>
        </w:rPr>
        <w:t xml:space="preserve">lo cual, </w:t>
      </w:r>
      <w:r w:rsidRPr="00B67440">
        <w:rPr>
          <w:rFonts w:eastAsia="-webkit-standard" w:cs="-webkit-standard"/>
          <w:sz w:val="22"/>
          <w:szCs w:val="22"/>
        </w:rPr>
        <w:t>constituye un hito dentro del proceso de formalización normativa del Programa Colombia Solar. Este instrumento permitió</w:t>
      </w:r>
      <w:r w:rsidRPr="0094003A">
        <w:rPr>
          <w:rFonts w:eastAsia="-webkit-standard" w:cs="-webkit-standard"/>
          <w:sz w:val="22"/>
          <w:szCs w:val="22"/>
        </w:rPr>
        <w:t xml:space="preserve"> avanzar en la definición de </w:t>
      </w:r>
      <w:r w:rsidR="00F50C4B">
        <w:rPr>
          <w:rFonts w:eastAsia="-webkit-standard" w:cs="-webkit-standard"/>
          <w:sz w:val="22"/>
          <w:szCs w:val="22"/>
        </w:rPr>
        <w:t xml:space="preserve">las </w:t>
      </w:r>
      <w:r w:rsidRPr="0094003A">
        <w:rPr>
          <w:rFonts w:eastAsia="-webkit-standard" w:cs="-webkit-standard"/>
          <w:sz w:val="22"/>
          <w:szCs w:val="22"/>
        </w:rPr>
        <w:t>reglas necesarias para la implementación del pro</w:t>
      </w:r>
      <w:r w:rsidR="007D0DFF">
        <w:rPr>
          <w:rFonts w:eastAsia="-webkit-standard" w:cs="-webkit-standard"/>
          <w:sz w:val="22"/>
          <w:szCs w:val="22"/>
        </w:rPr>
        <w:t>yecto</w:t>
      </w:r>
      <w:r w:rsidRPr="0094003A">
        <w:rPr>
          <w:rFonts w:eastAsia="-webkit-standard" w:cs="-webkit-standard"/>
          <w:sz w:val="22"/>
          <w:szCs w:val="22"/>
        </w:rPr>
        <w:t xml:space="preserve">, en concordancia con </w:t>
      </w:r>
      <w:r w:rsidR="00667819">
        <w:rPr>
          <w:rFonts w:eastAsia="-webkit-standard" w:cs="-webkit-standard"/>
          <w:sz w:val="22"/>
          <w:szCs w:val="22"/>
        </w:rPr>
        <w:t xml:space="preserve">lo establecido en </w:t>
      </w:r>
      <w:r w:rsidRPr="0094003A">
        <w:rPr>
          <w:rFonts w:eastAsia="-webkit-standard" w:cs="-webkit-standard"/>
          <w:sz w:val="22"/>
          <w:szCs w:val="22"/>
        </w:rPr>
        <w:t xml:space="preserve">el Decreto 0972 de 2025 y </w:t>
      </w:r>
      <w:r w:rsidR="00AE5050">
        <w:rPr>
          <w:rFonts w:eastAsia="-webkit-standard" w:cs="-webkit-standard"/>
          <w:sz w:val="22"/>
          <w:szCs w:val="22"/>
        </w:rPr>
        <w:t>aporta al cumplimiento d</w:t>
      </w:r>
      <w:r w:rsidRPr="0094003A">
        <w:rPr>
          <w:rFonts w:eastAsia="-webkit-standard" w:cs="-webkit-standard"/>
          <w:sz w:val="22"/>
          <w:szCs w:val="22"/>
        </w:rPr>
        <w:t>el objetivo de habilitar la energía solar como fuente de autogeneración para usuarios de estratos 1, 2 y 3.</w:t>
      </w:r>
    </w:p>
    <w:p w14:paraId="6EFFC445" w14:textId="6490A1D2" w:rsidR="00767C1C" w:rsidRPr="0094003A" w:rsidRDefault="00767C1C" w:rsidP="00767C1C">
      <w:pPr>
        <w:jc w:val="both"/>
        <w:rPr>
          <w:sz w:val="22"/>
          <w:szCs w:val="22"/>
        </w:rPr>
      </w:pPr>
      <w:r w:rsidRPr="0094003A">
        <w:rPr>
          <w:rFonts w:eastAsia="-webkit-standard" w:cs="-webkit-standard"/>
          <w:sz w:val="22"/>
          <w:szCs w:val="22"/>
        </w:rPr>
        <w:t>De igual manera, se reportó la elaboración de respuestas técnicas a observaciones formuladas por la Comisión de Regulación de Energía y Gas</w:t>
      </w:r>
      <w:r w:rsidR="006741E5">
        <w:rPr>
          <w:rFonts w:eastAsia="-webkit-standard" w:cs="-webkit-standard"/>
          <w:sz w:val="22"/>
          <w:szCs w:val="22"/>
        </w:rPr>
        <w:t xml:space="preserve">- CREG, </w:t>
      </w:r>
      <w:r w:rsidRPr="0094003A">
        <w:rPr>
          <w:rFonts w:eastAsia="-webkit-standard" w:cs="-webkit-standard"/>
          <w:sz w:val="22"/>
          <w:szCs w:val="22"/>
        </w:rPr>
        <w:t>frente al documento de reglamentación preparado por el Ministerio de Minas y Energía. Este proceso evidencia una dinámica de articulación interinstitucional necesaria para garantizar que los instrumentos regulatorios del programa sean consistentes con el marco sectorial, las condiciones de prestación del servicio público domiciliario de energía eléctrica y los procedimientos aplicables a la autogeneración, medición, liquidación y reconocimiento de beneficios.</w:t>
      </w:r>
    </w:p>
    <w:p w14:paraId="6306FD02" w14:textId="77777777" w:rsidR="003D7243" w:rsidRDefault="00767C1C" w:rsidP="00767C1C">
      <w:pPr>
        <w:jc w:val="both"/>
        <w:rPr>
          <w:sz w:val="22"/>
          <w:szCs w:val="22"/>
        </w:rPr>
      </w:pPr>
      <w:r w:rsidRPr="0094003A">
        <w:rPr>
          <w:rFonts w:eastAsia="-webkit-standard" w:cs="-webkit-standard"/>
          <w:sz w:val="22"/>
          <w:szCs w:val="22"/>
        </w:rPr>
        <w:t>En los reportes posteriores</w:t>
      </w:r>
      <w:r w:rsidR="00596168">
        <w:rPr>
          <w:rFonts w:eastAsia="-webkit-standard" w:cs="-webkit-standard"/>
          <w:sz w:val="22"/>
          <w:szCs w:val="22"/>
        </w:rPr>
        <w:t xml:space="preserve"> de seguimiento, </w:t>
      </w:r>
      <w:r w:rsidRPr="0094003A">
        <w:rPr>
          <w:rFonts w:eastAsia="-webkit-standard" w:cs="-webkit-standard"/>
          <w:sz w:val="22"/>
          <w:szCs w:val="22"/>
        </w:rPr>
        <w:t xml:space="preserve">se identificó como avance la preparación de un borrador de ajuste a la Resolución 40159 de 2026, orientado a precisar </w:t>
      </w:r>
      <w:r w:rsidR="005141D5">
        <w:rPr>
          <w:rFonts w:eastAsia="-webkit-standard" w:cs="-webkit-standard"/>
          <w:sz w:val="22"/>
          <w:szCs w:val="22"/>
        </w:rPr>
        <w:t>y</w:t>
      </w:r>
      <w:r w:rsidRPr="0094003A">
        <w:rPr>
          <w:rFonts w:eastAsia="-webkit-standard" w:cs="-webkit-standard"/>
          <w:sz w:val="22"/>
          <w:szCs w:val="22"/>
        </w:rPr>
        <w:t xml:space="preserve"> complementar aspectos </w:t>
      </w:r>
      <w:r w:rsidR="005141D5">
        <w:rPr>
          <w:rFonts w:eastAsia="-webkit-standard" w:cs="-webkit-standard"/>
          <w:sz w:val="22"/>
          <w:szCs w:val="22"/>
        </w:rPr>
        <w:t xml:space="preserve">normativos y de regulación </w:t>
      </w:r>
      <w:r w:rsidRPr="0094003A">
        <w:rPr>
          <w:rFonts w:eastAsia="-webkit-standard" w:cs="-webkit-standard"/>
          <w:sz w:val="22"/>
          <w:szCs w:val="22"/>
        </w:rPr>
        <w:t xml:space="preserve">requeridos para la </w:t>
      </w:r>
      <w:r w:rsidR="00F3769E">
        <w:rPr>
          <w:rFonts w:eastAsia="-webkit-standard" w:cs="-webkit-standard"/>
          <w:sz w:val="22"/>
          <w:szCs w:val="22"/>
        </w:rPr>
        <w:t>sostenibilidad</w:t>
      </w:r>
      <w:r w:rsidRPr="0094003A">
        <w:rPr>
          <w:rFonts w:eastAsia="-webkit-standard" w:cs="-webkit-standard"/>
          <w:sz w:val="22"/>
          <w:szCs w:val="22"/>
        </w:rPr>
        <w:t xml:space="preserve"> del pro</w:t>
      </w:r>
      <w:r w:rsidR="004F2DA1">
        <w:rPr>
          <w:rFonts w:eastAsia="-webkit-standard" w:cs="-webkit-standard"/>
          <w:sz w:val="22"/>
          <w:szCs w:val="22"/>
        </w:rPr>
        <w:t>yecto</w:t>
      </w:r>
      <w:r w:rsidRPr="0094003A">
        <w:rPr>
          <w:rFonts w:eastAsia="-webkit-standard" w:cs="-webkit-standard"/>
          <w:sz w:val="22"/>
          <w:szCs w:val="22"/>
        </w:rPr>
        <w:t>. Este avance resulta especialmente importante, dado que los informes de seguimiento identifican que la aprobación del ajuste regulatorio es una condición crítica para asegurar la operación normativa en términos de ejecución.</w:t>
      </w:r>
    </w:p>
    <w:p w14:paraId="4C58EC73" w14:textId="24F23126" w:rsidR="00767C1C" w:rsidRPr="0094003A" w:rsidRDefault="00767C1C" w:rsidP="00767C1C">
      <w:pPr>
        <w:jc w:val="both"/>
        <w:rPr>
          <w:sz w:val="22"/>
          <w:szCs w:val="22"/>
        </w:rPr>
      </w:pPr>
      <w:r w:rsidRPr="0094003A">
        <w:rPr>
          <w:rFonts w:eastAsia="-webkit-standard" w:cs="-webkit-standard"/>
          <w:sz w:val="22"/>
          <w:szCs w:val="22"/>
        </w:rPr>
        <w:t>No obstante, el componente regulatorio presenta retos que deben ser atendidos para garantizar la continuidad de la política pública. El primero consiste en culminar el proceso de aprobación del ajuste a la Resolución 40159 de 2026, evitando que la ausencia de reglas complementarias genere incertidumbre en la ejecución</w:t>
      </w:r>
      <w:r w:rsidR="0042029E">
        <w:rPr>
          <w:rFonts w:eastAsia="-webkit-standard" w:cs="-webkit-standard"/>
          <w:sz w:val="22"/>
          <w:szCs w:val="22"/>
        </w:rPr>
        <w:t xml:space="preserve"> y el</w:t>
      </w:r>
      <w:r w:rsidRPr="0094003A">
        <w:rPr>
          <w:rFonts w:eastAsia="-webkit-standard" w:cs="-webkit-standard"/>
          <w:sz w:val="22"/>
          <w:szCs w:val="22"/>
        </w:rPr>
        <w:t xml:space="preserve"> segundo </w:t>
      </w:r>
      <w:r w:rsidR="0042029E">
        <w:rPr>
          <w:rFonts w:eastAsia="-webkit-standard" w:cs="-webkit-standard"/>
          <w:sz w:val="22"/>
          <w:szCs w:val="22"/>
        </w:rPr>
        <w:t>se relaciona con la necesidad de mantener</w:t>
      </w:r>
      <w:r w:rsidRPr="0094003A">
        <w:rPr>
          <w:rFonts w:eastAsia="-webkit-standard" w:cs="-webkit-standard"/>
          <w:sz w:val="22"/>
          <w:szCs w:val="22"/>
        </w:rPr>
        <w:t xml:space="preserve"> una coordinación permanente</w:t>
      </w:r>
      <w:r w:rsidR="008A6697">
        <w:rPr>
          <w:rFonts w:eastAsia="-webkit-standard" w:cs="-webkit-standard"/>
          <w:sz w:val="22"/>
          <w:szCs w:val="22"/>
        </w:rPr>
        <w:t xml:space="preserve"> con</w:t>
      </w:r>
      <w:r w:rsidRPr="0094003A">
        <w:rPr>
          <w:rFonts w:eastAsia="-webkit-standard" w:cs="-webkit-standard"/>
          <w:sz w:val="22"/>
          <w:szCs w:val="22"/>
        </w:rPr>
        <w:t xml:space="preserve"> los operadores de red </w:t>
      </w:r>
      <w:r w:rsidR="003E37B0">
        <w:rPr>
          <w:rFonts w:eastAsia="-webkit-standard" w:cs="-webkit-standard"/>
          <w:sz w:val="22"/>
          <w:szCs w:val="22"/>
        </w:rPr>
        <w:t xml:space="preserve">para precisar el esquema de sostenibilidad </w:t>
      </w:r>
      <w:r w:rsidR="0075661D">
        <w:rPr>
          <w:rFonts w:eastAsia="-webkit-standard" w:cs="-webkit-standard"/>
          <w:sz w:val="22"/>
          <w:szCs w:val="22"/>
        </w:rPr>
        <w:t>del proyecto.</w:t>
      </w:r>
    </w:p>
    <w:p w14:paraId="1472244C" w14:textId="31A87A64" w:rsidR="000D6607" w:rsidRPr="00E45145" w:rsidRDefault="00767C1C" w:rsidP="000D6607">
      <w:pPr>
        <w:jc w:val="both"/>
        <w:rPr>
          <w:rFonts w:eastAsia="-webkit-standard" w:cs="-webkit-standard"/>
          <w:sz w:val="22"/>
          <w:szCs w:val="22"/>
        </w:rPr>
      </w:pPr>
      <w:r w:rsidRPr="0094003A">
        <w:rPr>
          <w:rFonts w:eastAsia="-webkit-standard" w:cs="-webkit-standard"/>
          <w:sz w:val="22"/>
          <w:szCs w:val="22"/>
        </w:rPr>
        <w:t xml:space="preserve">En balance, el componente regulatorio presenta un avance sustantivo </w:t>
      </w:r>
      <w:r w:rsidR="0075661D">
        <w:rPr>
          <w:rFonts w:eastAsia="-webkit-standard" w:cs="-webkit-standard"/>
          <w:sz w:val="22"/>
          <w:szCs w:val="22"/>
        </w:rPr>
        <w:t>dado que en</w:t>
      </w:r>
      <w:r w:rsidRPr="0094003A">
        <w:rPr>
          <w:rFonts w:eastAsia="-webkit-standard" w:cs="-webkit-standard"/>
          <w:sz w:val="22"/>
          <w:szCs w:val="22"/>
        </w:rPr>
        <w:t xml:space="preserve"> política pública ya cuenta con un marco normativo inicial, respuestas técnicas a observaciones regulatorias y un borrador de ajuste en trámite de aprobación. Sin embargo, </w:t>
      </w:r>
      <w:r w:rsidR="005E4153">
        <w:rPr>
          <w:rFonts w:eastAsia="-webkit-standard" w:cs="-webkit-standard"/>
          <w:sz w:val="22"/>
          <w:szCs w:val="22"/>
        </w:rPr>
        <w:t xml:space="preserve">actualmente se está en la etapa de cierre de ajustes normativos para avanzar en la etapa de participación ciudadana. </w:t>
      </w:r>
    </w:p>
    <w:p w14:paraId="23E87B09" w14:textId="795B0E3B" w:rsidR="005C4165" w:rsidRDefault="005C4165" w:rsidP="005C4165">
      <w:pPr>
        <w:pStyle w:val="Ttulo2"/>
        <w:rPr>
          <w:b/>
          <w:bCs/>
          <w:color w:val="auto"/>
          <w:sz w:val="22"/>
          <w:szCs w:val="22"/>
        </w:rPr>
      </w:pPr>
      <w:bookmarkStart w:id="18" w:name="_Toc233023700"/>
      <w:r w:rsidRPr="005C4165">
        <w:rPr>
          <w:b/>
          <w:bCs/>
          <w:color w:val="auto"/>
          <w:sz w:val="22"/>
          <w:szCs w:val="22"/>
        </w:rPr>
        <w:t>4.4. Frente Financiero – Proyecto de Inversión</w:t>
      </w:r>
      <w:bookmarkEnd w:id="18"/>
    </w:p>
    <w:p w14:paraId="4DB4A2AF" w14:textId="77777777" w:rsidR="001052B3" w:rsidRDefault="001052B3" w:rsidP="00805163">
      <w:pPr>
        <w:spacing w:after="0" w:line="240" w:lineRule="auto"/>
      </w:pPr>
    </w:p>
    <w:p w14:paraId="07E1A8A8" w14:textId="6A345BCE" w:rsidR="001052B3" w:rsidRPr="0094003A" w:rsidRDefault="00B53930" w:rsidP="001052B3">
      <w:pPr>
        <w:jc w:val="both"/>
        <w:rPr>
          <w:sz w:val="22"/>
          <w:szCs w:val="22"/>
        </w:rPr>
      </w:pPr>
      <w:r>
        <w:rPr>
          <w:rFonts w:eastAsia="-webkit-standard" w:cs="-webkit-standard"/>
          <w:sz w:val="22"/>
          <w:szCs w:val="22"/>
        </w:rPr>
        <w:t>Los avances de e</w:t>
      </w:r>
      <w:r w:rsidRPr="0094003A">
        <w:rPr>
          <w:rFonts w:eastAsia="-webkit-standard" w:cs="-webkit-standard"/>
          <w:sz w:val="22"/>
          <w:szCs w:val="22"/>
        </w:rPr>
        <w:t>ste frente deben</w:t>
      </w:r>
      <w:r w:rsidR="001052B3" w:rsidRPr="0094003A">
        <w:rPr>
          <w:rFonts w:eastAsia="-webkit-standard" w:cs="-webkit-standard"/>
          <w:sz w:val="22"/>
          <w:szCs w:val="22"/>
        </w:rPr>
        <w:t xml:space="preserve"> analizarse en dos niveles complementarios. El primero corresponde al seguimiento financiero del proyecto de inversión, asociado al código BPIN 202500000025335, la ficha de inversión, las vigencias futuras, la ejecución presupuestal, la apropiación, los compromisos, las obligaciones y la sostenibilidad fiscal del programa. El segundo corresponde al seguimiento financiero</w:t>
      </w:r>
      <w:r w:rsidR="00DA5FBE">
        <w:rPr>
          <w:rFonts w:eastAsia="-webkit-standard" w:cs="-webkit-standard"/>
          <w:sz w:val="22"/>
          <w:szCs w:val="22"/>
        </w:rPr>
        <w:t xml:space="preserve"> </w:t>
      </w:r>
      <w:r w:rsidR="001052B3" w:rsidRPr="0094003A">
        <w:rPr>
          <w:rFonts w:eastAsia="-webkit-standard" w:cs="-webkit-standard"/>
          <w:sz w:val="22"/>
          <w:szCs w:val="22"/>
        </w:rPr>
        <w:t xml:space="preserve">contractual de los ejecutores, relacionado con los recursos asignados a FENOGE y GECELCA, los desembolsos, encargos fiduciarios, informes </w:t>
      </w:r>
      <w:r w:rsidR="001052B3" w:rsidRPr="0094003A">
        <w:rPr>
          <w:rFonts w:eastAsia="-webkit-standard" w:cs="-webkit-standard"/>
          <w:sz w:val="22"/>
          <w:szCs w:val="22"/>
        </w:rPr>
        <w:lastRenderedPageBreak/>
        <w:t>de ejecución, soportes financieros, pagos, rendimientos, recursos comprometidos, recursos disponibles y condiciones contractuales que habilitan la ejecución en territorio.</w:t>
      </w:r>
    </w:p>
    <w:p w14:paraId="770FE475" w14:textId="7F6FB4A2" w:rsidR="001052B3" w:rsidRPr="0094003A" w:rsidRDefault="00967D08" w:rsidP="001052B3">
      <w:pPr>
        <w:jc w:val="both"/>
        <w:rPr>
          <w:sz w:val="22"/>
          <w:szCs w:val="22"/>
        </w:rPr>
      </w:pPr>
      <w:r w:rsidRPr="0094003A">
        <w:rPr>
          <w:rFonts w:eastAsia="-webkit-standard" w:cs="-webkit-standard"/>
          <w:sz w:val="22"/>
          <w:szCs w:val="22"/>
        </w:rPr>
        <w:t>Esta diferenciación es fundamental porque Colombia Solar opera bajo una lógica de ejecución progresiva. El compromiso presupuestal asegura jurídicamente la destinación de recursos, pero la obligación y el pago dependen de la maduración de los procesos contractuales, la entrega de bienes o servicios, la verificación de cumplimiento y la validación de los soportes correspondientes. En consecuencia, el avance financiero debe leerse tanto en términos presupuestales como contractuales</w:t>
      </w:r>
      <w:r w:rsidR="004E2BFA">
        <w:rPr>
          <w:rFonts w:eastAsia="-webkit-standard" w:cs="-webkit-standard"/>
          <w:sz w:val="22"/>
          <w:szCs w:val="22"/>
        </w:rPr>
        <w:t xml:space="preserve"> </w:t>
      </w:r>
      <w:r w:rsidR="0072059E">
        <w:rPr>
          <w:rFonts w:eastAsia="-webkit-standard" w:cs="-webkit-standard"/>
          <w:sz w:val="22"/>
          <w:szCs w:val="22"/>
        </w:rPr>
        <w:t>con el fin de</w:t>
      </w:r>
      <w:r w:rsidR="004E2BFA">
        <w:rPr>
          <w:rFonts w:eastAsia="-webkit-standard" w:cs="-webkit-standard"/>
          <w:sz w:val="22"/>
          <w:szCs w:val="22"/>
        </w:rPr>
        <w:t xml:space="preserve"> observar </w:t>
      </w:r>
      <w:r w:rsidR="001052B3" w:rsidRPr="0094003A">
        <w:rPr>
          <w:rFonts w:eastAsia="-webkit-standard" w:cs="-webkit-standard"/>
          <w:sz w:val="22"/>
          <w:szCs w:val="22"/>
        </w:rPr>
        <w:t>la capacidad institucional para transformar una decisión de política pública en recursos presupuestales comprometidos, instrumentos contractuales activos, obligaciones financieras verificables y condiciones de ejecución para la instalación de soluciones fotovoltaicas en hogares de estratos 1, 2 y 3.</w:t>
      </w:r>
    </w:p>
    <w:p w14:paraId="202F6B31" w14:textId="39313DE8" w:rsidR="001052B3" w:rsidRPr="0072059E" w:rsidRDefault="001052B3" w:rsidP="002A7469">
      <w:pPr>
        <w:rPr>
          <w:rFonts w:eastAsia="-webkit-standard" w:cs="-webkit-standard"/>
          <w:b/>
          <w:bCs/>
          <w:sz w:val="22"/>
          <w:szCs w:val="22"/>
        </w:rPr>
      </w:pPr>
      <w:r w:rsidRPr="0072059E">
        <w:rPr>
          <w:b/>
          <w:bCs/>
          <w:sz w:val="22"/>
          <w:szCs w:val="22"/>
        </w:rPr>
        <w:t>Avances del proyecto de inversión</w:t>
      </w:r>
    </w:p>
    <w:p w14:paraId="563000E7" w14:textId="74230B09" w:rsidR="001052B3" w:rsidRPr="0094003A" w:rsidRDefault="001052B3" w:rsidP="001052B3">
      <w:pPr>
        <w:jc w:val="both"/>
        <w:rPr>
          <w:sz w:val="22"/>
          <w:szCs w:val="22"/>
        </w:rPr>
      </w:pPr>
      <w:r w:rsidRPr="0094003A">
        <w:rPr>
          <w:rFonts w:eastAsia="-webkit-standard" w:cs="-webkit-standard"/>
          <w:sz w:val="22"/>
          <w:szCs w:val="22"/>
        </w:rPr>
        <w:t xml:space="preserve">El proyecto de inversión </w:t>
      </w:r>
      <w:r w:rsidRPr="0072059E">
        <w:rPr>
          <w:rFonts w:eastAsia="-webkit-standard" w:cs="-webkit-standard"/>
          <w:i/>
          <w:iCs/>
          <w:sz w:val="22"/>
          <w:szCs w:val="22"/>
        </w:rPr>
        <w:t>“Implementación de soluciones de generación fotovoltaica para la reducción del costo del servicio eléctrico en los estratos 1, 2 y 3 del Sistema Interconectado Nacional (SIN) – Programa Nacional Colombia Solar”,</w:t>
      </w:r>
      <w:r w:rsidRPr="0094003A">
        <w:rPr>
          <w:rFonts w:eastAsia="-webkit-standard" w:cs="-webkit-standard"/>
          <w:sz w:val="22"/>
          <w:szCs w:val="22"/>
        </w:rPr>
        <w:t xml:space="preserve"> identificado con el código BPIN 202500000025335, constituye el instrumento presupuestal central</w:t>
      </w:r>
      <w:r w:rsidR="0072059E">
        <w:rPr>
          <w:rFonts w:eastAsia="-webkit-standard" w:cs="-webkit-standard"/>
          <w:sz w:val="22"/>
          <w:szCs w:val="22"/>
        </w:rPr>
        <w:t xml:space="preserve">. </w:t>
      </w:r>
      <w:r w:rsidRPr="0094003A">
        <w:rPr>
          <w:rFonts w:eastAsia="-webkit-standard" w:cs="-webkit-standard"/>
          <w:sz w:val="22"/>
          <w:szCs w:val="22"/>
        </w:rPr>
        <w:t xml:space="preserve">Este proyecto </w:t>
      </w:r>
      <w:r w:rsidR="00EF3A4F">
        <w:rPr>
          <w:rFonts w:eastAsia="-webkit-standard" w:cs="-webkit-standard"/>
          <w:sz w:val="22"/>
          <w:szCs w:val="22"/>
        </w:rPr>
        <w:t>tiene</w:t>
      </w:r>
      <w:r w:rsidRPr="0094003A">
        <w:rPr>
          <w:rFonts w:eastAsia="-webkit-standard" w:cs="-webkit-standard"/>
          <w:sz w:val="22"/>
          <w:szCs w:val="22"/>
        </w:rPr>
        <w:t xml:space="preserve"> un horizonte de cinco años, correspondiente al periodo 2026-2030, y se articula con el objetivo de reducir la presión fiscal sobre el Fondo de Solidaridad para Subsidios y Redistribución de Ingresos, mejorar la sostenibilidad del gasto público en subsidios eléctricos y garantizar el acceso equitativo y sostenible al servicio de energía eléctrica para hogares vulnerables.</w:t>
      </w:r>
    </w:p>
    <w:p w14:paraId="0A9F9069" w14:textId="52140FC5" w:rsidR="001052B3" w:rsidRPr="0094003A" w:rsidRDefault="001052B3" w:rsidP="001052B3">
      <w:pPr>
        <w:jc w:val="both"/>
        <w:rPr>
          <w:sz w:val="22"/>
          <w:szCs w:val="22"/>
        </w:rPr>
      </w:pPr>
      <w:r w:rsidRPr="0094003A">
        <w:rPr>
          <w:rFonts w:eastAsia="-webkit-standard" w:cs="-webkit-standard"/>
          <w:sz w:val="22"/>
          <w:szCs w:val="22"/>
        </w:rPr>
        <w:t xml:space="preserve">Durante el periodo objeto de seguimiento, el frente financiero avanzó en la actualización y aprobación de la versión ajustada del proyecto de inversión. Esta actualización permitió incorporar ajustes técnicos, contractuales y presupuestales derivados de la evolución real del </w:t>
      </w:r>
      <w:r w:rsidR="0038113D">
        <w:rPr>
          <w:rFonts w:eastAsia="-webkit-standard" w:cs="-webkit-standard"/>
          <w:sz w:val="22"/>
          <w:szCs w:val="22"/>
        </w:rPr>
        <w:t>Colombia Solar</w:t>
      </w:r>
      <w:r w:rsidRPr="0094003A">
        <w:rPr>
          <w:rFonts w:eastAsia="-webkit-standard" w:cs="-webkit-standard"/>
          <w:sz w:val="22"/>
          <w:szCs w:val="22"/>
        </w:rPr>
        <w:t>, especialmente frente a las condiciones de mercado, la capacidad de implementación y la necesidad de reorganizar la senda de ejecución de soluciones fotovoltaicas.</w:t>
      </w:r>
    </w:p>
    <w:p w14:paraId="44AFE439" w14:textId="023D6408" w:rsidR="001052B3" w:rsidRPr="0094003A" w:rsidRDefault="001052B3" w:rsidP="001052B3">
      <w:pPr>
        <w:jc w:val="both"/>
        <w:rPr>
          <w:sz w:val="22"/>
          <w:szCs w:val="22"/>
        </w:rPr>
      </w:pPr>
      <w:r w:rsidRPr="0094003A">
        <w:rPr>
          <w:rFonts w:eastAsia="-webkit-standard" w:cs="-webkit-standard"/>
          <w:sz w:val="22"/>
          <w:szCs w:val="22"/>
        </w:rPr>
        <w:t xml:space="preserve">Asimismo, se reportó el desarrollo de análisis técnicos de vigencias futuras, con revisión de impactos financieros derivados de ajustes contractuales. </w:t>
      </w:r>
      <w:r w:rsidR="00BC79FC">
        <w:rPr>
          <w:rFonts w:eastAsia="-webkit-standard" w:cs="-webkit-standard"/>
          <w:sz w:val="22"/>
          <w:szCs w:val="22"/>
        </w:rPr>
        <w:t xml:space="preserve">Por lo anterior, el 9 de abril se </w:t>
      </w:r>
      <w:r w:rsidR="00D21073">
        <w:rPr>
          <w:rFonts w:eastAsia="-webkit-standard" w:cs="-webkit-standard"/>
          <w:sz w:val="22"/>
          <w:szCs w:val="22"/>
        </w:rPr>
        <w:t xml:space="preserve">ajustó la ficha del proyecto de inversión y se </w:t>
      </w:r>
      <w:r w:rsidR="00BC79FC">
        <w:rPr>
          <w:rFonts w:eastAsia="-webkit-standard" w:cs="-webkit-standard"/>
          <w:sz w:val="22"/>
          <w:szCs w:val="22"/>
        </w:rPr>
        <w:t xml:space="preserve">remitió </w:t>
      </w:r>
      <w:r w:rsidR="00D21073">
        <w:rPr>
          <w:rFonts w:eastAsia="-webkit-standard" w:cs="-webkit-standard"/>
          <w:sz w:val="22"/>
          <w:szCs w:val="22"/>
        </w:rPr>
        <w:t xml:space="preserve">el 22 de mayo </w:t>
      </w:r>
      <w:r w:rsidR="00BC79FC">
        <w:rPr>
          <w:rFonts w:eastAsia="-webkit-standard" w:cs="-webkit-standard"/>
          <w:sz w:val="22"/>
          <w:szCs w:val="22"/>
        </w:rPr>
        <w:t>al Departamento Nacional de Planeación (DNP)</w:t>
      </w:r>
      <w:r w:rsidR="00D21073">
        <w:rPr>
          <w:rFonts w:eastAsia="-webkit-standard" w:cs="-webkit-standard"/>
          <w:sz w:val="22"/>
          <w:szCs w:val="22"/>
        </w:rPr>
        <w:t>. Actualmente el equipo financiero se encuentra revisando y resp</w:t>
      </w:r>
      <w:r w:rsidR="001A1312">
        <w:rPr>
          <w:rFonts w:eastAsia="-webkit-standard" w:cs="-webkit-standard"/>
          <w:sz w:val="22"/>
          <w:szCs w:val="22"/>
        </w:rPr>
        <w:t>o</w:t>
      </w:r>
      <w:r w:rsidR="00D21073">
        <w:rPr>
          <w:rFonts w:eastAsia="-webkit-standard" w:cs="-webkit-standard"/>
          <w:sz w:val="22"/>
          <w:szCs w:val="22"/>
        </w:rPr>
        <w:t xml:space="preserve">ndiendo las observaciones </w:t>
      </w:r>
      <w:r w:rsidR="001A1312">
        <w:rPr>
          <w:rFonts w:eastAsia="-webkit-standard" w:cs="-webkit-standard"/>
          <w:sz w:val="22"/>
          <w:szCs w:val="22"/>
        </w:rPr>
        <w:t xml:space="preserve">correspondientes. </w:t>
      </w:r>
      <w:r w:rsidRPr="0094003A">
        <w:rPr>
          <w:rFonts w:eastAsia="-webkit-standard" w:cs="-webkit-standard"/>
          <w:sz w:val="22"/>
          <w:szCs w:val="22"/>
        </w:rPr>
        <w:t>Estos hitos evidencian que el frente financiero ha avanzado en la gestión institucional requerida para mantener actualizado el proyecto de inversión y asegurar la correspondencia entre planeación presupuestal, metas físicas y compromisos contractuales.</w:t>
      </w:r>
    </w:p>
    <w:p w14:paraId="2AD3351A" w14:textId="23A8FEEA" w:rsidR="001052B3" w:rsidRPr="00C17C56" w:rsidRDefault="001052B3" w:rsidP="002A7469">
      <w:pPr>
        <w:rPr>
          <w:rFonts w:eastAsia="-webkit-standard" w:cs="-webkit-standard"/>
          <w:b/>
          <w:bCs/>
          <w:sz w:val="22"/>
          <w:szCs w:val="22"/>
        </w:rPr>
      </w:pPr>
      <w:r w:rsidRPr="00C17C56">
        <w:rPr>
          <w:b/>
          <w:bCs/>
          <w:sz w:val="22"/>
          <w:szCs w:val="22"/>
        </w:rPr>
        <w:t>Ejecución presupuestal de la vigencia 2026</w:t>
      </w:r>
    </w:p>
    <w:p w14:paraId="03A8EA7C" w14:textId="45E64A66" w:rsidR="001052B3" w:rsidRPr="0094003A" w:rsidRDefault="001052B3" w:rsidP="001052B3">
      <w:pPr>
        <w:jc w:val="both"/>
        <w:rPr>
          <w:sz w:val="22"/>
          <w:szCs w:val="22"/>
        </w:rPr>
      </w:pPr>
      <w:r w:rsidRPr="0094003A">
        <w:rPr>
          <w:rFonts w:eastAsia="-webkit-standard" w:cs="-webkit-standard"/>
          <w:sz w:val="22"/>
          <w:szCs w:val="22"/>
        </w:rPr>
        <w:t>Para la vigencia 2026, la ficha ajustada del proyecto de inversión reporta recursos asignados por $372.133.529.088. Sobre este total, se evidencia un nivel de compromiso cercano al 99,5%, lo cual indica un alto grado de avance en la apropiación y contratación de los recursos del pro</w:t>
      </w:r>
      <w:r w:rsidR="00D20824">
        <w:rPr>
          <w:rFonts w:eastAsia="-webkit-standard" w:cs="-webkit-standard"/>
          <w:sz w:val="22"/>
          <w:szCs w:val="22"/>
        </w:rPr>
        <w:t>yecto</w:t>
      </w:r>
      <w:r w:rsidRPr="0094003A">
        <w:rPr>
          <w:rFonts w:eastAsia="-webkit-standard" w:cs="-webkit-standard"/>
          <w:sz w:val="22"/>
          <w:szCs w:val="22"/>
        </w:rPr>
        <w:t>. Este resultado permite afirmar que Colombia Solar logró asegurar jurídicamente una parte sustantiva de los recursos necesarios para la ejecución de la vigencia.</w:t>
      </w:r>
    </w:p>
    <w:p w14:paraId="023847D4" w14:textId="77777777" w:rsidR="001052B3" w:rsidRPr="0094003A" w:rsidRDefault="001052B3" w:rsidP="001052B3">
      <w:pPr>
        <w:jc w:val="both"/>
        <w:rPr>
          <w:sz w:val="22"/>
          <w:szCs w:val="22"/>
        </w:rPr>
      </w:pPr>
      <w:r w:rsidRPr="0094003A">
        <w:rPr>
          <w:rFonts w:eastAsia="-webkit-standard" w:cs="-webkit-standard"/>
          <w:sz w:val="22"/>
          <w:szCs w:val="22"/>
        </w:rPr>
        <w:lastRenderedPageBreak/>
        <w:t>Según lo reportado en SIIF, el nivel de obligaciones se ubica aproximadamente en 68%, con un total de $253.941.014.584. Esta diferencia entre compromiso y obligación no debe interpretarse necesariamente como ineficiencia, sino como una característica propia del ciclo presupuestal: primero se comprometen los recursos, posteriormente se causan obligaciones conforme se cumplen condiciones contractuales y finalmente se realizan los pagos correspondientes.</w:t>
      </w:r>
    </w:p>
    <w:p w14:paraId="44284D02" w14:textId="77777777" w:rsidR="001052B3" w:rsidRPr="0094003A" w:rsidRDefault="001052B3" w:rsidP="001052B3">
      <w:pPr>
        <w:jc w:val="both"/>
        <w:rPr>
          <w:sz w:val="22"/>
          <w:szCs w:val="22"/>
        </w:rPr>
      </w:pPr>
      <w:r w:rsidRPr="0094003A">
        <w:rPr>
          <w:rFonts w:eastAsia="-webkit-standard" w:cs="-webkit-standard"/>
          <w:sz w:val="22"/>
          <w:szCs w:val="22"/>
        </w:rPr>
        <w:t>El detalle de obligaciones reportadas para la vigencia incluye recursos asociados a OPS por $929.719.998, logística por $100.000.000, FENOGE por $72.271.941.310 y GECELCA por $161.359.706.552 más $19.320.146.724. Estos valores muestran que el avance financiero no está concentrado únicamente en costos internos o administrativos, sino principalmente en los instrumentos de ejecución del programa asociados a los ejecutores.</w:t>
      </w:r>
    </w:p>
    <w:p w14:paraId="19362FEC" w14:textId="0F53D143" w:rsidR="001052B3" w:rsidRPr="0094003A" w:rsidRDefault="001052B3" w:rsidP="001052B3">
      <w:pPr>
        <w:jc w:val="both"/>
        <w:rPr>
          <w:sz w:val="22"/>
          <w:szCs w:val="22"/>
        </w:rPr>
      </w:pPr>
      <w:r w:rsidRPr="0094003A">
        <w:rPr>
          <w:rFonts w:eastAsia="-webkit-standard" w:cs="-webkit-standard"/>
          <w:sz w:val="22"/>
          <w:szCs w:val="22"/>
        </w:rPr>
        <w:t xml:space="preserve">Adicionalmente, se reportó una ejecución presupuestal de Colombia Solar del 99% entre lo comprometido y lo apropiado. Esta cifra confirma la tendencia de alto compromiso presupuestal durante la vigencia. </w:t>
      </w:r>
      <w:r w:rsidR="00FA3516">
        <w:rPr>
          <w:sz w:val="22"/>
          <w:szCs w:val="22"/>
        </w:rPr>
        <w:t xml:space="preserve"> </w:t>
      </w:r>
      <w:r w:rsidRPr="0094003A">
        <w:rPr>
          <w:rFonts w:eastAsia="-webkit-standard" w:cs="-webkit-standard"/>
          <w:sz w:val="22"/>
          <w:szCs w:val="22"/>
        </w:rPr>
        <w:t>En balance, el avance presupuestal de la vigencia 2026 puede calificarse como alto en términos de compromiso y en proceso de consolidación en términos de obligación y pago. El principal reto consiste en cerrar de manera ordenada la brecha entre recursos comprometidos y ejecución efectiva, asegurando que los recursos vinculados a los ejecutores se traduzcan en productos verificables, soluciones instaladas, certificaciones, legalizaciones y beneficios reales para los usuarios.</w:t>
      </w:r>
    </w:p>
    <w:p w14:paraId="4ED93F1C" w14:textId="69EEA5C7" w:rsidR="001052B3" w:rsidRPr="00C17C56" w:rsidRDefault="001052B3" w:rsidP="002A7469">
      <w:pPr>
        <w:rPr>
          <w:b/>
          <w:bCs/>
          <w:sz w:val="22"/>
          <w:szCs w:val="22"/>
        </w:rPr>
      </w:pPr>
      <w:r w:rsidRPr="00C17C56">
        <w:rPr>
          <w:b/>
          <w:bCs/>
          <w:sz w:val="22"/>
          <w:szCs w:val="22"/>
        </w:rPr>
        <w:t>Seguimiento financiero-contractual a GECELCA</w:t>
      </w:r>
    </w:p>
    <w:p w14:paraId="45165805" w14:textId="21F4874D" w:rsidR="001052B3" w:rsidRPr="00CE4191" w:rsidRDefault="001052B3" w:rsidP="001052B3">
      <w:pPr>
        <w:jc w:val="both"/>
        <w:rPr>
          <w:sz w:val="22"/>
          <w:szCs w:val="22"/>
        </w:rPr>
      </w:pPr>
      <w:r w:rsidRPr="00CE4191">
        <w:rPr>
          <w:rFonts w:eastAsia="-webkit-standard" w:cs="-webkit-standard"/>
          <w:sz w:val="22"/>
          <w:szCs w:val="22"/>
        </w:rPr>
        <w:t xml:space="preserve">El contrato interadministrativo con GECELCA tiene un valor total de $4.205.027.751.839 y un plazo de cinco años, con aportes estimados al cumplimiento de metas del proyecto de inversión por vigencia. Para 2026, se prevé la atención estimada de </w:t>
      </w:r>
      <w:r w:rsidR="00621535" w:rsidRPr="00CE4191">
        <w:rPr>
          <w:rFonts w:eastAsia="-webkit-standard" w:cs="-webkit-standard"/>
          <w:sz w:val="22"/>
          <w:szCs w:val="22"/>
        </w:rPr>
        <w:t>10.118 beneficiarios</w:t>
      </w:r>
      <w:r w:rsidR="00B07ECB" w:rsidRPr="00CE4191">
        <w:rPr>
          <w:rFonts w:eastAsia="-webkit-standard" w:cs="-webkit-standard"/>
          <w:sz w:val="22"/>
          <w:szCs w:val="22"/>
        </w:rPr>
        <w:t xml:space="preserve">. </w:t>
      </w:r>
      <w:r w:rsidR="00A539F1" w:rsidRPr="00CE4191">
        <w:rPr>
          <w:sz w:val="22"/>
          <w:szCs w:val="22"/>
        </w:rPr>
        <w:t xml:space="preserve"> </w:t>
      </w:r>
      <w:r w:rsidRPr="00CE4191">
        <w:rPr>
          <w:rFonts w:eastAsia="-webkit-standard" w:cs="-webkit-standard"/>
          <w:sz w:val="22"/>
          <w:szCs w:val="22"/>
        </w:rPr>
        <w:t xml:space="preserve">El esquema financiero de GECELCA se organiza a través de un encargo fiduciario. El Ministerio </w:t>
      </w:r>
      <w:r w:rsidR="005F1F67" w:rsidRPr="00CE4191">
        <w:rPr>
          <w:rFonts w:eastAsia="-webkit-standard" w:cs="-webkit-standard"/>
          <w:sz w:val="22"/>
          <w:szCs w:val="22"/>
        </w:rPr>
        <w:t xml:space="preserve">de Minas y Energía </w:t>
      </w:r>
      <w:r w:rsidRPr="00CE4191">
        <w:rPr>
          <w:rFonts w:eastAsia="-webkit-standard" w:cs="-webkit-standard"/>
          <w:sz w:val="22"/>
          <w:szCs w:val="22"/>
        </w:rPr>
        <w:t>debe realizar los desembolsos al encargo fiduciario previo cumplimiento de las condiciones contractuales y sujeto a la aprobación del Programa Anual Mensualizado de Caja. Para la vigencia 2026, el contrato establece un único desembolso por $180.679.853.276, condicionado a la presentación y aprobación de la garantía de cumplimiento, la suscripción del acta de inicio, la suscripción y entrega del contrato de encargo fiduciario y la presentación del plan de ejecución de los recursos a girar en el año 2026.</w:t>
      </w:r>
    </w:p>
    <w:p w14:paraId="053B9974" w14:textId="77777777" w:rsidR="001052B3" w:rsidRPr="00CE4191" w:rsidRDefault="001052B3" w:rsidP="001052B3">
      <w:pPr>
        <w:jc w:val="both"/>
        <w:rPr>
          <w:sz w:val="22"/>
          <w:szCs w:val="22"/>
        </w:rPr>
      </w:pPr>
      <w:r w:rsidRPr="00CE4191">
        <w:rPr>
          <w:rFonts w:eastAsia="-webkit-standard" w:cs="-webkit-standard"/>
          <w:sz w:val="22"/>
          <w:szCs w:val="22"/>
        </w:rPr>
        <w:t>Este esquema permite fortalecer la trazabilidad de los recursos, en la medida en que concentra la administración financiera en una cuenta fiduciaria destinada al objeto contractual. Sin embargo, también exige un seguimiento financiero detallado por parte del Ministerio, especialmente sobre recursos desembolsados, pagos bimestrales, rendimientos generados, recursos disponibles, recursos comprometidos, pagos por administración de recursos y soportes de cada movimiento financiero.</w:t>
      </w:r>
    </w:p>
    <w:p w14:paraId="57E84F3A" w14:textId="65575C4D" w:rsidR="001052B3" w:rsidRPr="00C17C56" w:rsidRDefault="001052B3" w:rsidP="002A7469">
      <w:pPr>
        <w:rPr>
          <w:b/>
          <w:bCs/>
          <w:sz w:val="22"/>
          <w:szCs w:val="22"/>
        </w:rPr>
      </w:pPr>
      <w:r w:rsidRPr="00C17C56">
        <w:rPr>
          <w:b/>
          <w:bCs/>
          <w:sz w:val="22"/>
          <w:szCs w:val="22"/>
        </w:rPr>
        <w:t>Seguimiento financiero-contractual a FENOGE</w:t>
      </w:r>
    </w:p>
    <w:p w14:paraId="2DE34E27" w14:textId="7C5751F0" w:rsidR="004B3F18" w:rsidRDefault="001052B3" w:rsidP="004B3F18">
      <w:pPr>
        <w:jc w:val="both"/>
        <w:rPr>
          <w:rFonts w:eastAsia="-webkit-standard" w:cs="-webkit-standard"/>
          <w:sz w:val="22"/>
          <w:szCs w:val="22"/>
        </w:rPr>
      </w:pPr>
      <w:r w:rsidRPr="1851B6DD">
        <w:rPr>
          <w:rFonts w:eastAsia="-webkit-standard" w:cs="-webkit-standard"/>
          <w:sz w:val="22"/>
          <w:szCs w:val="22"/>
        </w:rPr>
        <w:t>El proceso contractual con FENOGE para la vigencia 2026 cuenta con una asignación de $180.679.853.276, según la ficha ajustada del proyecto de inversión. Su objeto se orienta a aunar esfuerzos y capacidades técnicas, operativas, administrativas y financieras entre FENOGE y el Ministerio para ejecutar acciones en el marco del Programa Colombia Solar.</w:t>
      </w:r>
      <w:r w:rsidR="00CE4191" w:rsidRPr="1851B6DD">
        <w:rPr>
          <w:sz w:val="22"/>
          <w:szCs w:val="22"/>
        </w:rPr>
        <w:t xml:space="preserve"> </w:t>
      </w:r>
      <w:r w:rsidRPr="1851B6DD">
        <w:rPr>
          <w:rFonts w:eastAsia="-webkit-standard" w:cs="-webkit-standard"/>
          <w:sz w:val="22"/>
          <w:szCs w:val="22"/>
        </w:rPr>
        <w:t xml:space="preserve">El seguimiento financiero-contractual a FENOGE debe permitir verificar el uso de los recursos asignados, la </w:t>
      </w:r>
      <w:r w:rsidRPr="1851B6DD">
        <w:rPr>
          <w:rFonts w:eastAsia="-webkit-standard" w:cs="-webkit-standard"/>
          <w:sz w:val="22"/>
          <w:szCs w:val="22"/>
        </w:rPr>
        <w:lastRenderedPageBreak/>
        <w:t>consistencia entre el plan de ejecución y las metas del programa, la oportunidad de los informes financieros y técnicos, la correspondencia entre recursos comprometidos y productos entregados, y la calidad de los soportes documentales asociados a la ejecución.</w:t>
      </w:r>
    </w:p>
    <w:p w14:paraId="76F14D69" w14:textId="377EFE6E" w:rsidR="005C4165" w:rsidRDefault="005C4165" w:rsidP="005C4165">
      <w:pPr>
        <w:pStyle w:val="Ttulo2"/>
        <w:rPr>
          <w:b/>
          <w:color w:val="auto"/>
          <w:sz w:val="22"/>
          <w:szCs w:val="22"/>
        </w:rPr>
      </w:pPr>
      <w:bookmarkStart w:id="19" w:name="_Toc233023701"/>
      <w:r>
        <w:rPr>
          <w:b/>
          <w:color w:val="auto"/>
          <w:sz w:val="22"/>
          <w:szCs w:val="22"/>
        </w:rPr>
        <w:t>4</w:t>
      </w:r>
      <w:r w:rsidRPr="00316EFC">
        <w:rPr>
          <w:b/>
          <w:color w:val="auto"/>
          <w:sz w:val="22"/>
          <w:szCs w:val="22"/>
        </w:rPr>
        <w:t>.5. Frente Metodológico</w:t>
      </w:r>
      <w:bookmarkEnd w:id="19"/>
    </w:p>
    <w:p w14:paraId="3344E73E" w14:textId="77777777" w:rsidR="00A3549E" w:rsidRPr="00A3549E" w:rsidRDefault="00A3549E" w:rsidP="00A3549E">
      <w:pPr>
        <w:spacing w:after="0"/>
      </w:pPr>
    </w:p>
    <w:p w14:paraId="1D142777" w14:textId="40F238D8" w:rsidR="00A3549E" w:rsidRPr="0094003A" w:rsidRDefault="00A3549E" w:rsidP="00A3549E">
      <w:pPr>
        <w:jc w:val="both"/>
        <w:rPr>
          <w:sz w:val="22"/>
          <w:szCs w:val="22"/>
        </w:rPr>
      </w:pPr>
      <w:r w:rsidRPr="0094003A">
        <w:rPr>
          <w:rFonts w:eastAsia="-webkit-standard" w:cs="-webkit-standard"/>
          <w:sz w:val="22"/>
          <w:szCs w:val="22"/>
        </w:rPr>
        <w:t xml:space="preserve">El frente metodológico constituye uno de los componentes estructurantes del </w:t>
      </w:r>
      <w:r w:rsidR="006F36B7">
        <w:rPr>
          <w:rFonts w:eastAsia="-webkit-standard" w:cs="-webkit-standard"/>
          <w:sz w:val="22"/>
          <w:szCs w:val="22"/>
        </w:rPr>
        <w:t xml:space="preserve">proyecto </w:t>
      </w:r>
      <w:r w:rsidRPr="0094003A">
        <w:rPr>
          <w:rFonts w:eastAsia="-webkit-standard" w:cs="-webkit-standard"/>
          <w:sz w:val="22"/>
          <w:szCs w:val="22"/>
        </w:rPr>
        <w:t xml:space="preserve">Colombia Solar, en la medida en que traduce los objetivos estratégicos de la política pública en instrumentos técnicos, territoriales y operativos para orientar su implementación. Su función principal consiste en diseñar, consolidar y organizar los documentos nacionales y departamentales requeridos para que la ejecución del </w:t>
      </w:r>
      <w:r w:rsidR="003C1CFA">
        <w:rPr>
          <w:rFonts w:eastAsia="-webkit-standard" w:cs="-webkit-standard"/>
          <w:sz w:val="22"/>
          <w:szCs w:val="22"/>
        </w:rPr>
        <w:t>proyecto</w:t>
      </w:r>
      <w:r w:rsidRPr="0094003A">
        <w:rPr>
          <w:rFonts w:eastAsia="-webkit-standard" w:cs="-webkit-standard"/>
          <w:sz w:val="22"/>
          <w:szCs w:val="22"/>
        </w:rPr>
        <w:t xml:space="preserve"> cuente con lineamientos claros, criterios de análisis territorial, herramientas de intervención, soportes de focalización y mecanismos de trazabilidad institucional.</w:t>
      </w:r>
    </w:p>
    <w:p w14:paraId="293AB1FC" w14:textId="26F07A0F" w:rsidR="00A3549E" w:rsidRPr="0094003A" w:rsidRDefault="00A3549E" w:rsidP="00A3549E">
      <w:pPr>
        <w:jc w:val="both"/>
        <w:rPr>
          <w:sz w:val="22"/>
          <w:szCs w:val="22"/>
        </w:rPr>
      </w:pPr>
      <w:r w:rsidRPr="0094003A">
        <w:rPr>
          <w:rFonts w:eastAsia="-webkit-standard" w:cs="-webkit-standard"/>
          <w:sz w:val="22"/>
          <w:szCs w:val="22"/>
        </w:rPr>
        <w:t xml:space="preserve">Este frente cumple una función articuladora entre la planeación estratégica del programa, la información técnica disponible y las necesidades operativas de implementación en territorio. Mientras el componente técnico aporta información sobre focalización, selección muestral, potencial solar, usuarios elegibles y condiciones de ejecución, el frente metodológico organiza dichos insumos en documentos, protocolos, diagnósticos, cartillas y lineamientos </w:t>
      </w:r>
      <w:r w:rsidR="00B3334C">
        <w:rPr>
          <w:rFonts w:eastAsia="-webkit-standard" w:cs="-webkit-standard"/>
          <w:sz w:val="22"/>
          <w:szCs w:val="22"/>
        </w:rPr>
        <w:t xml:space="preserve">de orientación </w:t>
      </w:r>
      <w:r w:rsidR="003B5E91">
        <w:rPr>
          <w:rFonts w:eastAsia="-webkit-standard" w:cs="-webkit-standard"/>
          <w:sz w:val="22"/>
          <w:szCs w:val="22"/>
        </w:rPr>
        <w:t>para el proyecto</w:t>
      </w:r>
      <w:r w:rsidRPr="0094003A">
        <w:rPr>
          <w:rFonts w:eastAsia="-webkit-standard" w:cs="-webkit-standard"/>
          <w:sz w:val="22"/>
          <w:szCs w:val="22"/>
        </w:rPr>
        <w:t xml:space="preserve">. </w:t>
      </w:r>
    </w:p>
    <w:p w14:paraId="4BCADB66" w14:textId="26EE8911" w:rsidR="00A3549E" w:rsidRPr="0094003A" w:rsidRDefault="00A3549E" w:rsidP="00A3549E">
      <w:pPr>
        <w:jc w:val="both"/>
        <w:rPr>
          <w:sz w:val="22"/>
          <w:szCs w:val="22"/>
        </w:rPr>
      </w:pPr>
      <w:r w:rsidRPr="0094003A">
        <w:rPr>
          <w:rFonts w:eastAsia="-webkit-standard" w:cs="-webkit-standard"/>
          <w:sz w:val="22"/>
          <w:szCs w:val="22"/>
        </w:rPr>
        <w:t>El frente metodológico tiene a su cargo la estructuración de catorce documentos: cuatro documentos nacionales y diez documentos departamentales. Los documentos nacionales cumplen una función transversal para el pro</w:t>
      </w:r>
      <w:r w:rsidR="00AE36BF">
        <w:rPr>
          <w:rFonts w:eastAsia="-webkit-standard" w:cs="-webkit-standard"/>
          <w:sz w:val="22"/>
          <w:szCs w:val="22"/>
        </w:rPr>
        <w:t>yecto</w:t>
      </w:r>
      <w:r w:rsidRPr="0094003A">
        <w:rPr>
          <w:rFonts w:eastAsia="-webkit-standard" w:cs="-webkit-standard"/>
          <w:sz w:val="22"/>
          <w:szCs w:val="22"/>
        </w:rPr>
        <w:t>, en tanto establecen lineamientos, protocolos, herramientas de divulgación y elementos de gestión aplicables al conjunto de la intervención. Los documentos departamentales, por su parte, permiten territorializar el análisis, identificar condiciones particulares de implementación y orientar la focalización de acciones en los departamentos priorizados.</w:t>
      </w:r>
    </w:p>
    <w:p w14:paraId="404FC381" w14:textId="77777777" w:rsidR="00A3549E" w:rsidRPr="0094003A" w:rsidRDefault="00A3549E" w:rsidP="00A3549E">
      <w:pPr>
        <w:jc w:val="both"/>
        <w:rPr>
          <w:sz w:val="22"/>
          <w:szCs w:val="22"/>
        </w:rPr>
      </w:pPr>
      <w:r w:rsidRPr="0094003A">
        <w:rPr>
          <w:rFonts w:eastAsia="-webkit-standard" w:cs="-webkit-standard"/>
          <w:sz w:val="22"/>
          <w:szCs w:val="22"/>
        </w:rPr>
        <w:t>Esta organización documental permite que Colombia Solar avance bajo una lógica de política pública técnicamente soportada y territorialmente diferenciada. La existencia de documentos nacionales garantiza coherencia general en la implementación, mientras que los documentos departamentales permiten adaptar la lectura del programa a las características sociales, económicas, energéticas, ambientales e institucionales de cada territorio.</w:t>
      </w:r>
    </w:p>
    <w:p w14:paraId="4F0BF179" w14:textId="33157054" w:rsidR="00A3549E" w:rsidRPr="0094003A" w:rsidRDefault="00A3549E" w:rsidP="00A3549E">
      <w:pPr>
        <w:jc w:val="both"/>
        <w:rPr>
          <w:sz w:val="22"/>
          <w:szCs w:val="22"/>
        </w:rPr>
      </w:pPr>
      <w:r w:rsidRPr="0094003A">
        <w:rPr>
          <w:rFonts w:eastAsia="-webkit-standard" w:cs="-webkit-standard"/>
          <w:sz w:val="22"/>
          <w:szCs w:val="22"/>
        </w:rPr>
        <w:t>En términos de seguimiento, el frente metodológico también cumple una función estratégica porque sus productos están asociados a indicadores del pro</w:t>
      </w:r>
      <w:r w:rsidR="00C27E7E">
        <w:rPr>
          <w:rFonts w:eastAsia="-webkit-standard" w:cs="-webkit-standard"/>
          <w:sz w:val="22"/>
          <w:szCs w:val="22"/>
        </w:rPr>
        <w:t>yecto</w:t>
      </w:r>
      <w:r w:rsidRPr="0094003A">
        <w:rPr>
          <w:rFonts w:eastAsia="-webkit-standard" w:cs="-webkit-standard"/>
          <w:sz w:val="22"/>
          <w:szCs w:val="22"/>
        </w:rPr>
        <w:t>. Por ello, la oportunidad en la elaboración, revisión, diagramación, aprobación</w:t>
      </w:r>
      <w:r w:rsidR="00C27E7E">
        <w:rPr>
          <w:rFonts w:eastAsia="-webkit-standard" w:cs="-webkit-standard"/>
          <w:sz w:val="22"/>
          <w:szCs w:val="22"/>
        </w:rPr>
        <w:t xml:space="preserve"> y</w:t>
      </w:r>
      <w:r w:rsidRPr="0094003A">
        <w:rPr>
          <w:rFonts w:eastAsia="-webkit-standard" w:cs="-webkit-standard"/>
          <w:sz w:val="22"/>
          <w:szCs w:val="22"/>
        </w:rPr>
        <w:t xml:space="preserve"> publicación de los documentos incide directamente en el cumplimiento de las metas institucionales y en la capacidad del programa para demostrar avances verificables.</w:t>
      </w:r>
    </w:p>
    <w:p w14:paraId="3D833CB9" w14:textId="77777777" w:rsidR="00A3549E" w:rsidRPr="0094003A" w:rsidRDefault="00A3549E" w:rsidP="00A3549E">
      <w:pPr>
        <w:jc w:val="both"/>
        <w:rPr>
          <w:sz w:val="22"/>
          <w:szCs w:val="22"/>
        </w:rPr>
      </w:pPr>
      <w:r w:rsidRPr="0094003A">
        <w:rPr>
          <w:rFonts w:eastAsia="-webkit-standard" w:cs="-webkit-standard"/>
          <w:sz w:val="22"/>
          <w:szCs w:val="22"/>
        </w:rPr>
        <w:t>Durante el periodo objeto de seguimiento, el frente metodológico avanzó en la consolidación de una arquitectura documental inicial para Colombia Solar. Este proceso permitió organizar los productos estratégicos del programa en dos niveles: documentos nacionales y documentos departamentales.</w:t>
      </w:r>
    </w:p>
    <w:p w14:paraId="6EBD615E" w14:textId="0240C948" w:rsidR="00A3549E" w:rsidRPr="0094003A" w:rsidRDefault="00A3549E" w:rsidP="00A3549E">
      <w:pPr>
        <w:jc w:val="both"/>
        <w:rPr>
          <w:sz w:val="22"/>
          <w:szCs w:val="22"/>
        </w:rPr>
      </w:pPr>
      <w:r w:rsidRPr="0094003A">
        <w:rPr>
          <w:rFonts w:eastAsia="-webkit-standard" w:cs="-webkit-standard"/>
          <w:sz w:val="22"/>
          <w:szCs w:val="22"/>
        </w:rPr>
        <w:lastRenderedPageBreak/>
        <w:t xml:space="preserve">En el nivel nacional, se encuentran finalizados el Plan de Gestión Social, el documento de divulgación, el Protocolo de Transporte y el documento de Riesgo Organizacional. Estos documentos cumplen una función transversal. El Plan de Gestión Social orienta el relacionamiento con comunidades y actores territoriales; el documento de divulgación facilita la comunicación institucional del programa; el Protocolo de Transporte establece lineamientos operativos para la movilización de equipos, insumos y actividades en territorio; y el documento de Riesgo Organizacional permite identificar alertas internas, necesidades de coordinación y riesgos asociados a la ejecución institucional del </w:t>
      </w:r>
      <w:r w:rsidR="00F10081">
        <w:rPr>
          <w:rFonts w:eastAsia="-webkit-standard" w:cs="-webkit-standard"/>
          <w:sz w:val="22"/>
          <w:szCs w:val="22"/>
        </w:rPr>
        <w:t>proyecto.</w:t>
      </w:r>
    </w:p>
    <w:p w14:paraId="724D3D05" w14:textId="3BB6761B" w:rsidR="00A3549E" w:rsidRPr="0094003A" w:rsidRDefault="00A3549E" w:rsidP="00A3549E">
      <w:pPr>
        <w:jc w:val="both"/>
        <w:rPr>
          <w:sz w:val="22"/>
          <w:szCs w:val="22"/>
        </w:rPr>
      </w:pPr>
      <w:r w:rsidRPr="0094003A">
        <w:rPr>
          <w:rFonts w:eastAsia="-webkit-standard" w:cs="-webkit-standard"/>
          <w:sz w:val="22"/>
          <w:szCs w:val="22"/>
        </w:rPr>
        <w:t>En el nivel departamental, se encuentra finalizado el documento correspondiente al departamento del Atlántico, el cual constituye uno de los primeros ejercicios de lectura territorial consolidada de</w:t>
      </w:r>
      <w:r w:rsidR="00F10081">
        <w:rPr>
          <w:rFonts w:eastAsia="-webkit-standard" w:cs="-webkit-standard"/>
          <w:sz w:val="22"/>
          <w:szCs w:val="22"/>
        </w:rPr>
        <w:t xml:space="preserve"> </w:t>
      </w:r>
      <w:r w:rsidRPr="0094003A">
        <w:rPr>
          <w:rFonts w:eastAsia="-webkit-standard" w:cs="-webkit-standard"/>
          <w:sz w:val="22"/>
          <w:szCs w:val="22"/>
        </w:rPr>
        <w:t>Colombia Solar. Este documento permite articular información social, económica, energética, institucional y territorial para orientar la implementación del programa en un departamento estratégico para la fase inicial de ejecución.</w:t>
      </w:r>
    </w:p>
    <w:p w14:paraId="0A2A9905" w14:textId="7E585821" w:rsidR="00327C75" w:rsidRPr="00B53930" w:rsidRDefault="00A3549E" w:rsidP="00B53930">
      <w:pPr>
        <w:jc w:val="both"/>
        <w:rPr>
          <w:rFonts w:eastAsia="-webkit-standard" w:cs="-webkit-standard"/>
          <w:sz w:val="22"/>
          <w:szCs w:val="22"/>
        </w:rPr>
      </w:pPr>
      <w:r w:rsidRPr="1851B6DD">
        <w:rPr>
          <w:rFonts w:eastAsia="-webkit-standard" w:cs="-webkit-standard"/>
          <w:sz w:val="22"/>
          <w:szCs w:val="22"/>
        </w:rPr>
        <w:t>Los documentos finalizados —Plan de Gestión Social, documento de divulgación, Protocolo de Transporte, Riesgo Organizacional y documento del Atlántico— se encuentran actualmente en proceso de publicación por parte del área de Comunicaciones del Ministerio de Minas y Energía. Este punto marca un avance importante, pues indica que los productos ya superaron la fase principal de elaboración técnica y se encuentran en una etapa de alistamiento institucional para su circulación, socialización o uso formal dentro del programa.</w:t>
      </w:r>
    </w:p>
    <w:p w14:paraId="0E9E57DB" w14:textId="66121770" w:rsidR="005C4165" w:rsidRDefault="00823049" w:rsidP="005C4165">
      <w:pPr>
        <w:pStyle w:val="Ttulo2"/>
        <w:rPr>
          <w:b/>
          <w:color w:val="auto"/>
          <w:sz w:val="22"/>
          <w:szCs w:val="22"/>
        </w:rPr>
      </w:pPr>
      <w:bookmarkStart w:id="20" w:name="_Toc233023702"/>
      <w:r w:rsidRPr="00823049">
        <w:rPr>
          <w:b/>
          <w:color w:val="auto"/>
          <w:sz w:val="22"/>
          <w:szCs w:val="22"/>
        </w:rPr>
        <w:t>4</w:t>
      </w:r>
      <w:r w:rsidR="005C4165" w:rsidRPr="00823049">
        <w:rPr>
          <w:b/>
          <w:color w:val="auto"/>
          <w:sz w:val="22"/>
          <w:szCs w:val="22"/>
        </w:rPr>
        <w:t>.6. Frente Social y Relacionamiento Territorial</w:t>
      </w:r>
      <w:bookmarkEnd w:id="20"/>
    </w:p>
    <w:p w14:paraId="23400B73" w14:textId="77777777" w:rsidR="00DB7D91" w:rsidRPr="00DB7D91" w:rsidRDefault="00DB7D91" w:rsidP="00DB7D91">
      <w:pPr>
        <w:spacing w:after="0"/>
      </w:pPr>
    </w:p>
    <w:p w14:paraId="5BBAB4F4" w14:textId="02F22E06" w:rsidR="00DB7D91" w:rsidRPr="0094003A" w:rsidRDefault="00DB7D91" w:rsidP="00DB7D91">
      <w:pPr>
        <w:jc w:val="both"/>
        <w:rPr>
          <w:sz w:val="22"/>
          <w:szCs w:val="22"/>
        </w:rPr>
      </w:pPr>
      <w:r w:rsidRPr="0094003A">
        <w:rPr>
          <w:rFonts w:eastAsia="-webkit-standard" w:cs="-webkit-standard"/>
          <w:sz w:val="22"/>
          <w:szCs w:val="22"/>
        </w:rPr>
        <w:t xml:space="preserve">El frente social y de relacionamiento territorial </w:t>
      </w:r>
      <w:r w:rsidR="00795AFE">
        <w:rPr>
          <w:rFonts w:eastAsia="-webkit-standard" w:cs="-webkit-standard"/>
          <w:sz w:val="22"/>
          <w:szCs w:val="22"/>
        </w:rPr>
        <w:t xml:space="preserve">también </w:t>
      </w:r>
      <w:r w:rsidRPr="0094003A">
        <w:rPr>
          <w:rFonts w:eastAsia="-webkit-standard" w:cs="-webkit-standard"/>
          <w:sz w:val="22"/>
          <w:szCs w:val="22"/>
        </w:rPr>
        <w:t>constituye uno de los componentes estratégicos del Pro</w:t>
      </w:r>
      <w:r w:rsidR="00795AFE">
        <w:rPr>
          <w:rFonts w:eastAsia="-webkit-standard" w:cs="-webkit-standard"/>
          <w:sz w:val="22"/>
          <w:szCs w:val="22"/>
        </w:rPr>
        <w:t xml:space="preserve">yecto </w:t>
      </w:r>
      <w:r w:rsidRPr="0094003A">
        <w:rPr>
          <w:rFonts w:eastAsia="-webkit-standard" w:cs="-webkit-standard"/>
          <w:sz w:val="22"/>
          <w:szCs w:val="22"/>
        </w:rPr>
        <w:t>Colombia Solar, en la medida en que permite articular la implementación técnica de las soluciones fotovoltaicas con las condiciones sociales, comunitarias e institucionales de los territorios priorizados. Su función no se limita a acompañar actividades de divulgación, sino que busca fortalecer la relación entre el programa, las comunidades beneficiarias, los ejecutores, las autoridades territoriales y los actores locales, garantizando que la intervención energética se desarrolle bajo criterios de participación, información, apropiación social y sostenibilidad.</w:t>
      </w:r>
    </w:p>
    <w:p w14:paraId="24BCDA18" w14:textId="77777777" w:rsidR="00DB7D91" w:rsidRPr="0094003A" w:rsidRDefault="00DB7D91" w:rsidP="00DB7D91">
      <w:pPr>
        <w:jc w:val="both"/>
        <w:rPr>
          <w:sz w:val="22"/>
          <w:szCs w:val="22"/>
        </w:rPr>
      </w:pPr>
      <w:r w:rsidRPr="0094003A">
        <w:rPr>
          <w:rFonts w:eastAsia="-webkit-standard" w:cs="-webkit-standard"/>
          <w:sz w:val="22"/>
          <w:szCs w:val="22"/>
        </w:rPr>
        <w:t>Durante el periodo objeto de seguimiento, el frente social avanzó en la construcción de condiciones iniciales para la implementación territorial del programa, especialmente en el Plan Piloto de Villas de San Pablo, en Barranquilla. Este avance resulta relevante porque Colombia Solar no solo requiere instalar soluciones solares fotovoltaicas, sino también asegurar que las comunidades comprendan el alcance del programa, los beneficios esperados, las responsabilidades asociadas, los cambios operativos derivados de la autogeneración y los canales de relacionamiento con los ejecutores y el Ministerio de Minas y Energía.</w:t>
      </w:r>
    </w:p>
    <w:p w14:paraId="259D5A78" w14:textId="77777777" w:rsidR="00B95DBD" w:rsidRPr="0094003A" w:rsidRDefault="00B95DBD" w:rsidP="00B95DBD">
      <w:pPr>
        <w:jc w:val="both"/>
        <w:rPr>
          <w:sz w:val="22"/>
          <w:szCs w:val="22"/>
        </w:rPr>
      </w:pPr>
      <w:r w:rsidRPr="0094003A">
        <w:rPr>
          <w:rFonts w:eastAsia="-webkit-standard" w:cs="-webkit-standard"/>
          <w:sz w:val="22"/>
          <w:szCs w:val="22"/>
        </w:rPr>
        <w:t>Uno de los principales avances del periodo corresponde a la aprobación del Plan de Gestión Social del Programa Colombia Solar. Este instrumento constituye una base metodológica para orientar la relación del programa con las comunidades, definir lineamientos de socialización, acompañamiento y apropiación, y ordenar las acciones sociales que deben articularse con la implementación técnica de las soluciones fotovoltaicas.</w:t>
      </w:r>
    </w:p>
    <w:p w14:paraId="20A47275" w14:textId="77777777" w:rsidR="00B95DBD" w:rsidRPr="0094003A" w:rsidRDefault="00B95DBD" w:rsidP="00B95DBD">
      <w:pPr>
        <w:jc w:val="both"/>
        <w:rPr>
          <w:sz w:val="22"/>
          <w:szCs w:val="22"/>
        </w:rPr>
      </w:pPr>
      <w:r w:rsidRPr="0094003A">
        <w:rPr>
          <w:rFonts w:eastAsia="-webkit-standard" w:cs="-webkit-standard"/>
          <w:sz w:val="22"/>
          <w:szCs w:val="22"/>
        </w:rPr>
        <w:lastRenderedPageBreak/>
        <w:t>La aprobación del Plan de Gestión Social representa un hito dentro de la maduración institucional del programa, pues permite pasar de acciones sociales dispersas o reactivas a un esquema más organizado de intervención territorial. Este avance también facilita la definición de criterios para el seguimiento de actividades comunitarias, la identificación de actores clave, la sistematización de evidencias, la gestión de compromisos y la articulación entre los equipos técnicos, contractuales y sociales.</w:t>
      </w:r>
    </w:p>
    <w:p w14:paraId="5FC7A335" w14:textId="77777777" w:rsidR="00B95DBD" w:rsidRPr="0094003A" w:rsidRDefault="00B95DBD" w:rsidP="00B95DBD">
      <w:pPr>
        <w:jc w:val="both"/>
        <w:rPr>
          <w:sz w:val="22"/>
          <w:szCs w:val="22"/>
        </w:rPr>
      </w:pPr>
      <w:r w:rsidRPr="0094003A">
        <w:rPr>
          <w:rFonts w:eastAsia="-webkit-standard" w:cs="-webkit-standard"/>
          <w:sz w:val="22"/>
          <w:szCs w:val="22"/>
        </w:rPr>
        <w:t>De manera complementaria, durante el periodo se reportó el cargue de la Cartilla de Divulgación y del Plan de Gestión Social en el repositorio documental del programa. Este cargue fortalece la trazabilidad del componente social y permite disponer de soportes para las actividades de divulgación, socialización e información a comunidades beneficiarias.</w:t>
      </w:r>
    </w:p>
    <w:p w14:paraId="52AD4064" w14:textId="77777777" w:rsidR="00B95DBD" w:rsidRPr="0094003A" w:rsidRDefault="00B95DBD" w:rsidP="00B95DBD">
      <w:pPr>
        <w:jc w:val="both"/>
        <w:rPr>
          <w:sz w:val="22"/>
          <w:szCs w:val="22"/>
        </w:rPr>
      </w:pPr>
      <w:r w:rsidRPr="0094003A">
        <w:rPr>
          <w:rFonts w:eastAsia="-webkit-standard" w:cs="-webkit-standard"/>
          <w:sz w:val="22"/>
          <w:szCs w:val="22"/>
        </w:rPr>
        <w:t>Durante los primeros meses de implementación se reportaron actividades de socialización, capacitación y diálogo comunitario en territorios priorizados. El caso más relevante corresponde a Villas de San Pablo, donde se realizaron ejercicios de acercamiento con caracterizadores, Juntas de Acción Comunal y comunidad beneficiaria.</w:t>
      </w:r>
    </w:p>
    <w:p w14:paraId="5B8C14BE" w14:textId="77777777" w:rsidR="00B95DBD" w:rsidRPr="0094003A" w:rsidRDefault="00B95DBD" w:rsidP="00B95DBD">
      <w:pPr>
        <w:jc w:val="both"/>
        <w:rPr>
          <w:sz w:val="22"/>
          <w:szCs w:val="22"/>
        </w:rPr>
      </w:pPr>
      <w:r w:rsidRPr="0094003A">
        <w:rPr>
          <w:rFonts w:eastAsia="-webkit-standard" w:cs="-webkit-standard"/>
          <w:sz w:val="22"/>
          <w:szCs w:val="22"/>
        </w:rPr>
        <w:t>Entre las actividades reportadas se encuentra una jornada de capacitación para caracterizadores y Juntas de Acción Comunal en Villas de San Pablo, realizada el 27 de marzo, con participación de 30 asistentes. Esta actividad permitió fortalecer capacidades iniciales para el proceso de caracterización y facilitar la comprensión comunitaria del programa en una zona priorizada para el despliegue de soluciones solares fotovoltaicas.</w:t>
      </w:r>
    </w:p>
    <w:p w14:paraId="2804A3C0" w14:textId="77777777" w:rsidR="00B95DBD" w:rsidRPr="0094003A" w:rsidRDefault="00B95DBD" w:rsidP="00B95DBD">
      <w:pPr>
        <w:jc w:val="both"/>
        <w:rPr>
          <w:sz w:val="22"/>
          <w:szCs w:val="22"/>
        </w:rPr>
      </w:pPr>
      <w:r w:rsidRPr="0094003A">
        <w:rPr>
          <w:rFonts w:eastAsia="-webkit-standard" w:cs="-webkit-standard"/>
          <w:sz w:val="22"/>
          <w:szCs w:val="22"/>
        </w:rPr>
        <w:t>Posteriormente, se reportó un ejercicio de socialización con Juntas de Acción Comunal en Villas de San Pablo el 22 de abril, con participación de 12 personas, y un nuevo ejercicio de socialización el 23 de abril, con participación de 200 personas. Estas actividades muestran un avance en la escala del relacionamiento comunitario, pasando de espacios más focalizados con líderes y actores organizativos a encuentros de mayor cobertura con población beneficiaria.</w:t>
      </w:r>
    </w:p>
    <w:p w14:paraId="550AD7B6" w14:textId="77777777" w:rsidR="00B95DBD" w:rsidRPr="0094003A" w:rsidRDefault="00B95DBD" w:rsidP="00B95DBD">
      <w:pPr>
        <w:jc w:val="both"/>
        <w:rPr>
          <w:sz w:val="22"/>
          <w:szCs w:val="22"/>
        </w:rPr>
      </w:pPr>
      <w:r w:rsidRPr="0094003A">
        <w:rPr>
          <w:rFonts w:eastAsia="-webkit-standard" w:cs="-webkit-standard"/>
          <w:sz w:val="22"/>
          <w:szCs w:val="22"/>
        </w:rPr>
        <w:t>También se reportaron actividades de socialización y relacionamiento en los conjuntos residenciales Parques de Bolívar 1 y Parques de Bolívar 2. En particular, se registró un encuentro con la administración y el presidente del Consejo de Administración del Conjunto Residencial Parques de Bolívar 2, realizado el 2 de mayo, con participación de 8 personas; una socialización en el Conjunto Residencial Parques de Bolívar 1, también el 2 de mayo, con participación de 100 personas; y una socialización en el Conjunto Residencial Parques de Bolívar 2, realizada el 3 de mayo, con participación de 100 personas.</w:t>
      </w:r>
    </w:p>
    <w:p w14:paraId="1C024E97" w14:textId="77777777" w:rsidR="00B95DBD" w:rsidRPr="0094003A" w:rsidRDefault="00B95DBD" w:rsidP="00B95DBD">
      <w:pPr>
        <w:jc w:val="both"/>
        <w:rPr>
          <w:sz w:val="22"/>
          <w:szCs w:val="22"/>
        </w:rPr>
      </w:pPr>
      <w:r w:rsidRPr="0094003A">
        <w:rPr>
          <w:rFonts w:eastAsia="-webkit-standard" w:cs="-webkit-standard"/>
          <w:sz w:val="22"/>
          <w:szCs w:val="22"/>
        </w:rPr>
        <w:t>Adicionalmente, se reportó un ejercicio de diálogo por contingencia en Villas de San Pablo el 14 de mayo, con participación de 60 personas. Este tipo de espacio resulta especialmente relevante para la gestión social del programa, en tanto permite atender inquietudes, gestionar alertas, aclarar información, tramitar preocupaciones comunitarias y evitar que situaciones operativas o técnicas escalen hacia conflictos territoriales.</w:t>
      </w:r>
    </w:p>
    <w:p w14:paraId="1F8DB8CB" w14:textId="77777777" w:rsidR="00B95DBD" w:rsidRPr="0094003A" w:rsidRDefault="00B95DBD" w:rsidP="00664D7F">
      <w:pPr>
        <w:jc w:val="center"/>
        <w:rPr>
          <w:rFonts w:eastAsia="-webkit-standard" w:cs="-webkit-standard"/>
          <w:sz w:val="22"/>
          <w:szCs w:val="22"/>
        </w:rPr>
      </w:pPr>
      <w:r>
        <w:rPr>
          <w:noProof/>
        </w:rPr>
        <w:lastRenderedPageBreak/>
        <w:drawing>
          <wp:inline distT="0" distB="0" distL="0" distR="0" wp14:anchorId="7D9B6E64" wp14:editId="22B44D8F">
            <wp:extent cx="3722127" cy="2714505"/>
            <wp:effectExtent l="0" t="0" r="0" b="0"/>
            <wp:docPr id="6045004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63035" name="Picture 1910363035"/>
                    <pic:cNvPicPr/>
                  </pic:nvPicPr>
                  <pic:blipFill>
                    <a:blip r:embed="rId8">
                      <a:extLst>
                        <a:ext uri="{28A0092B-C50C-407E-A947-70E740481C1C}">
                          <a14:useLocalDpi xmlns:a14="http://schemas.microsoft.com/office/drawing/2010/main"/>
                        </a:ext>
                      </a:extLst>
                    </a:blip>
                    <a:stretch>
                      <a:fillRect/>
                    </a:stretch>
                  </pic:blipFill>
                  <pic:spPr>
                    <a:xfrm>
                      <a:off x="0" y="0"/>
                      <a:ext cx="3722127" cy="2714505"/>
                    </a:xfrm>
                    <a:prstGeom prst="rect">
                      <a:avLst/>
                    </a:prstGeom>
                  </pic:spPr>
                </pic:pic>
              </a:graphicData>
            </a:graphic>
          </wp:inline>
        </w:drawing>
      </w:r>
    </w:p>
    <w:p w14:paraId="4A9F84DB" w14:textId="4A064A1B" w:rsidR="00A803E5" w:rsidRPr="00B53930" w:rsidRDefault="00B95DBD" w:rsidP="00B53930">
      <w:pPr>
        <w:jc w:val="both"/>
        <w:rPr>
          <w:rFonts w:eastAsia="-webkit-standard" w:cs="-webkit-standard"/>
          <w:sz w:val="22"/>
          <w:szCs w:val="22"/>
        </w:rPr>
      </w:pPr>
      <w:r w:rsidRPr="1851B6DD">
        <w:rPr>
          <w:rFonts w:eastAsia="-webkit-standard" w:cs="-webkit-standard"/>
          <w:sz w:val="22"/>
          <w:szCs w:val="22"/>
        </w:rPr>
        <w:t>En conjunto, estas actividades evidencian que el frente social ha contribuido a fortalecer la apropiación territorial del programa y a construir canales de interlocución con comunidades beneficiarias. También muestran que la implementación de Colombia Solar requiere un acompañamiento social sostenido, especialmente en aquellos territorios donde la instalación de soluciones fotovoltaicas modifica rutinas de consumo, expectativas frente a la factura, formas de relacionamiento con el operador y percepciones sobre la presencia institucional.</w:t>
      </w:r>
    </w:p>
    <w:p w14:paraId="0DB6A485" w14:textId="6F4DF5DD" w:rsidR="00823049" w:rsidRDefault="00823049" w:rsidP="1851B6DD">
      <w:pPr>
        <w:pStyle w:val="Ttulo2"/>
        <w:jc w:val="both"/>
        <w:rPr>
          <w:b/>
          <w:bCs/>
          <w:color w:val="auto"/>
          <w:sz w:val="22"/>
          <w:szCs w:val="22"/>
        </w:rPr>
      </w:pPr>
      <w:bookmarkStart w:id="21" w:name="_Toc233023703"/>
      <w:r w:rsidRPr="1851B6DD">
        <w:rPr>
          <w:b/>
          <w:bCs/>
          <w:color w:val="auto"/>
          <w:sz w:val="22"/>
          <w:szCs w:val="22"/>
        </w:rPr>
        <w:t>4.7. Frente de Indicadores Colombia Solar</w:t>
      </w:r>
      <w:bookmarkEnd w:id="21"/>
    </w:p>
    <w:p w14:paraId="4CB63492" w14:textId="77777777" w:rsidR="007E4229" w:rsidRDefault="007E4229" w:rsidP="007E4229">
      <w:pPr>
        <w:spacing w:after="0"/>
      </w:pPr>
    </w:p>
    <w:p w14:paraId="75D45B20" w14:textId="053C01FD" w:rsidR="00A87DCF" w:rsidRPr="0094003A" w:rsidRDefault="00A803E5" w:rsidP="00A87DCF">
      <w:pPr>
        <w:jc w:val="both"/>
        <w:rPr>
          <w:sz w:val="22"/>
          <w:szCs w:val="22"/>
        </w:rPr>
      </w:pPr>
      <w:r>
        <w:rPr>
          <w:rFonts w:eastAsia="-webkit-standard" w:cs="-webkit-standard"/>
          <w:sz w:val="22"/>
          <w:szCs w:val="22"/>
        </w:rPr>
        <w:t>Con</w:t>
      </w:r>
      <w:r w:rsidR="00A87DCF" w:rsidRPr="0094003A">
        <w:rPr>
          <w:rFonts w:eastAsia="-webkit-standard" w:cs="-webkit-standard"/>
          <w:sz w:val="22"/>
          <w:szCs w:val="22"/>
        </w:rPr>
        <w:t xml:space="preserve"> relación </w:t>
      </w:r>
      <w:r>
        <w:rPr>
          <w:rFonts w:eastAsia="-webkit-standard" w:cs="-webkit-standard"/>
          <w:sz w:val="22"/>
          <w:szCs w:val="22"/>
        </w:rPr>
        <w:t>a</w:t>
      </w:r>
      <w:r w:rsidR="00A87DCF" w:rsidRPr="0094003A">
        <w:rPr>
          <w:rFonts w:eastAsia="-webkit-standard" w:cs="-webkit-standard"/>
          <w:sz w:val="22"/>
          <w:szCs w:val="22"/>
        </w:rPr>
        <w:t xml:space="preserve"> la ejecución física</w:t>
      </w:r>
      <w:r w:rsidR="00A87DCF">
        <w:rPr>
          <w:rFonts w:eastAsia="-webkit-standard" w:cs="-webkit-standard"/>
          <w:sz w:val="22"/>
          <w:szCs w:val="22"/>
        </w:rPr>
        <w:t xml:space="preserve"> de las soluciones fotovoltaicas</w:t>
      </w:r>
      <w:r w:rsidR="00A87DCF" w:rsidRPr="0094003A">
        <w:rPr>
          <w:rFonts w:eastAsia="-webkit-standard" w:cs="-webkit-standard"/>
          <w:sz w:val="22"/>
          <w:szCs w:val="22"/>
        </w:rPr>
        <w:t>, los reportes disponibles muestran que Villas de San Pablo constituye uno de los primeros territorios en los que el Colombia Solar registra avances materiales en la instalación de soluciones solares fotovoltaicas. Este caso es relevante porque permite observar la transición entre la planeación técnica y la ejecución territorial efectiva, así como identificar los puntos de control requeridos para que una solución pueda considerarse instalada, legalizada y en operación.</w:t>
      </w:r>
      <w:r w:rsidR="00BF2380">
        <w:rPr>
          <w:sz w:val="22"/>
          <w:szCs w:val="22"/>
        </w:rPr>
        <w:t xml:space="preserve"> </w:t>
      </w:r>
      <w:r w:rsidR="00A87DCF" w:rsidRPr="0094003A">
        <w:rPr>
          <w:rFonts w:eastAsia="-webkit-standard" w:cs="-webkit-standard"/>
          <w:sz w:val="22"/>
          <w:szCs w:val="22"/>
        </w:rPr>
        <w:t xml:space="preserve">De acuerdo con los reportes de avance físico con corte al 25 de mayo de 2026, se identifican dos niveles de seguimiento: un primer corte sobre un universo de 100 viviendas y un segundo corte sobre una meta de 500 viviendas. El primer reporte muestra que, para el grupo de 100 viviendas, se alcanzó un avance del 100% en viviendas con estructura, módulos, </w:t>
      </w:r>
      <w:r w:rsidR="005D0A22" w:rsidRPr="0094003A">
        <w:rPr>
          <w:rFonts w:eastAsia="-webkit-standard" w:cs="-webkit-standard"/>
          <w:sz w:val="22"/>
          <w:szCs w:val="22"/>
        </w:rPr>
        <w:t>micro inversores</w:t>
      </w:r>
      <w:r w:rsidR="005D0A22">
        <w:rPr>
          <w:rFonts w:eastAsia="-webkit-standard" w:cs="-webkit-standard"/>
          <w:sz w:val="22"/>
          <w:szCs w:val="22"/>
        </w:rPr>
        <w:t xml:space="preserve">, </w:t>
      </w:r>
      <w:r w:rsidR="00A87DCF" w:rsidRPr="0094003A">
        <w:rPr>
          <w:rFonts w:eastAsia="-webkit-standard" w:cs="-webkit-standard"/>
          <w:sz w:val="22"/>
          <w:szCs w:val="22"/>
        </w:rPr>
        <w:t xml:space="preserve">instalación interna, consumibles eléctricos y sistema de puesta a tierra. </w:t>
      </w:r>
    </w:p>
    <w:p w14:paraId="6EB8CE89" w14:textId="2C576ECB" w:rsidR="00A87DCF" w:rsidRPr="0094003A" w:rsidRDefault="00A87DCF" w:rsidP="00A87DCF">
      <w:pPr>
        <w:jc w:val="both"/>
        <w:rPr>
          <w:sz w:val="22"/>
          <w:szCs w:val="22"/>
        </w:rPr>
      </w:pPr>
      <w:r w:rsidRPr="0094003A">
        <w:rPr>
          <w:rFonts w:eastAsia="-webkit-standard" w:cs="-webkit-standard"/>
          <w:sz w:val="22"/>
          <w:szCs w:val="22"/>
        </w:rPr>
        <w:t xml:space="preserve">Este resultado muestra que la ejecución física presenta un avance significativo en actividades de instalación y montaje, pero aún </w:t>
      </w:r>
      <w:r w:rsidR="009364E1">
        <w:rPr>
          <w:rFonts w:eastAsia="-webkit-standard" w:cs="-webkit-standard"/>
          <w:sz w:val="22"/>
          <w:szCs w:val="22"/>
        </w:rPr>
        <w:t xml:space="preserve">se está trabajando en el reto de </w:t>
      </w:r>
      <w:r w:rsidRPr="0094003A">
        <w:rPr>
          <w:rFonts w:eastAsia="-webkit-standard" w:cs="-webkit-standard"/>
          <w:sz w:val="22"/>
          <w:szCs w:val="22"/>
        </w:rPr>
        <w:t>ser homologada</w:t>
      </w:r>
      <w:r w:rsidR="009364E1">
        <w:rPr>
          <w:rFonts w:eastAsia="-webkit-standard" w:cs="-webkit-standard"/>
          <w:sz w:val="22"/>
          <w:szCs w:val="22"/>
        </w:rPr>
        <w:t>s</w:t>
      </w:r>
      <w:r w:rsidRPr="0094003A">
        <w:rPr>
          <w:rFonts w:eastAsia="-webkit-standard" w:cs="-webkit-standard"/>
          <w:sz w:val="22"/>
          <w:szCs w:val="22"/>
        </w:rPr>
        <w:t xml:space="preserve"> completamente </w:t>
      </w:r>
      <w:r w:rsidR="009364E1">
        <w:rPr>
          <w:rFonts w:eastAsia="-webkit-standard" w:cs="-webkit-standard"/>
          <w:sz w:val="22"/>
          <w:szCs w:val="22"/>
        </w:rPr>
        <w:t>a través de diversas mesas</w:t>
      </w:r>
      <w:r w:rsidRPr="0094003A">
        <w:rPr>
          <w:rFonts w:eastAsia="-webkit-standard" w:cs="-webkit-standard"/>
          <w:sz w:val="22"/>
          <w:szCs w:val="22"/>
        </w:rPr>
        <w:t>. La ausencia de viviendas legalizadas indica que persiste una etapa técnica crítica relacionada con certificación, legalización ante el operador de red, parametrización, reconexión y validación de condiciones regulatorias y operativas.</w:t>
      </w:r>
    </w:p>
    <w:p w14:paraId="42D85DF9" w14:textId="216B1D7F" w:rsidR="00A87DCF" w:rsidRPr="0094003A" w:rsidRDefault="00A87DCF" w:rsidP="00A87DCF">
      <w:pPr>
        <w:jc w:val="both"/>
        <w:rPr>
          <w:sz w:val="22"/>
          <w:szCs w:val="22"/>
        </w:rPr>
      </w:pPr>
      <w:r w:rsidRPr="0094003A">
        <w:rPr>
          <w:rFonts w:eastAsia="-webkit-standard" w:cs="-webkit-standard"/>
          <w:sz w:val="22"/>
          <w:szCs w:val="22"/>
        </w:rPr>
        <w:t xml:space="preserve">En el reporte sobre la meta de 500 viviendas en Villas de San Pablo, los avances presentan una trayectoria diferenciada por componente. Las viviendas con estructura alcanzan 457 unidades, equivalentes al 91,40%; las viviendas con módulos alcanzan 443 unidades, equivalentes al 88,60%; las viviendas con </w:t>
      </w:r>
      <w:r w:rsidR="000010A9" w:rsidRPr="0094003A">
        <w:rPr>
          <w:rFonts w:eastAsia="-webkit-standard" w:cs="-webkit-standard"/>
          <w:sz w:val="22"/>
          <w:szCs w:val="22"/>
        </w:rPr>
        <w:t>micro inversores</w:t>
      </w:r>
      <w:r w:rsidRPr="0094003A">
        <w:rPr>
          <w:rFonts w:eastAsia="-webkit-standard" w:cs="-webkit-standard"/>
          <w:sz w:val="22"/>
          <w:szCs w:val="22"/>
        </w:rPr>
        <w:t xml:space="preserve"> alcanzan 123 unidades, equivalentes al 24,60%; y las </w:t>
      </w:r>
      <w:r w:rsidRPr="0094003A">
        <w:rPr>
          <w:rFonts w:eastAsia="-webkit-standard" w:cs="-webkit-standard"/>
          <w:sz w:val="22"/>
          <w:szCs w:val="22"/>
        </w:rPr>
        <w:lastRenderedPageBreak/>
        <w:t>viviendas con instalación interna, consumibles eléctricos y sistema de puesta a tierra alcanzan 140 unidades, equivalentes al 28,00%. Al igual que en el reporte de 100 viviendas, las viviendas legalizadas ante el operador de red, incluyendo certificación RETIE, registran 0%.</w:t>
      </w:r>
    </w:p>
    <w:p w14:paraId="0199EB35" w14:textId="77777777" w:rsidR="00A87DCF" w:rsidRPr="00A87DCF" w:rsidRDefault="00A87DCF" w:rsidP="00A87DCF">
      <w:pPr>
        <w:jc w:val="center"/>
        <w:rPr>
          <w:i/>
          <w:iCs/>
          <w:sz w:val="18"/>
          <w:szCs w:val="18"/>
        </w:rPr>
      </w:pPr>
      <w:r w:rsidRPr="00A87DCF">
        <w:rPr>
          <w:rFonts w:eastAsia="-webkit-standard" w:cs="-webkit-standard"/>
          <w:i/>
          <w:iCs/>
          <w:sz w:val="18"/>
          <w:szCs w:val="18"/>
        </w:rPr>
        <w:t>Tabla 1. Avance físico reportado en Villas de San Pablo con corte al 25 de mayo de 2026</w:t>
      </w:r>
    </w:p>
    <w:tbl>
      <w:tblPr>
        <w:tblStyle w:val="Tablaconcuadrcula"/>
        <w:tblW w:w="0" w:type="auto"/>
        <w:tblLook w:val="06A0" w:firstRow="1" w:lastRow="0" w:firstColumn="1" w:lastColumn="0" w:noHBand="1" w:noVBand="1"/>
      </w:tblPr>
      <w:tblGrid>
        <w:gridCol w:w="5654"/>
        <w:gridCol w:w="1839"/>
        <w:gridCol w:w="1504"/>
      </w:tblGrid>
      <w:tr w:rsidR="00A87DCF" w:rsidRPr="00A87DCF" w14:paraId="4545E401" w14:textId="77777777" w:rsidTr="00BF2380">
        <w:trPr>
          <w:trHeight w:val="216"/>
        </w:trPr>
        <w:tc>
          <w:tcPr>
            <w:tcW w:w="5654" w:type="dxa"/>
            <w:shd w:val="clear" w:color="auto" w:fill="D9D9D9" w:themeFill="background1" w:themeFillShade="D9"/>
            <w:vAlign w:val="center"/>
          </w:tcPr>
          <w:p w14:paraId="08E10A41" w14:textId="44E0172E" w:rsidR="00A87DCF" w:rsidRPr="00A87DCF" w:rsidRDefault="00A87DCF" w:rsidP="00A87DCF">
            <w:pPr>
              <w:jc w:val="center"/>
              <w:rPr>
                <w:b/>
                <w:bCs/>
                <w:sz w:val="16"/>
                <w:szCs w:val="16"/>
              </w:rPr>
            </w:pPr>
            <w:r w:rsidRPr="00A87DCF">
              <w:rPr>
                <w:rFonts w:eastAsia="-webkit-standard" w:cs="-webkit-standard"/>
                <w:b/>
                <w:bCs/>
                <w:sz w:val="16"/>
                <w:szCs w:val="16"/>
              </w:rPr>
              <w:t>CONCEPTO TÉCNICO</w:t>
            </w:r>
          </w:p>
        </w:tc>
        <w:tc>
          <w:tcPr>
            <w:tcW w:w="1839" w:type="dxa"/>
            <w:shd w:val="clear" w:color="auto" w:fill="D9D9D9" w:themeFill="background1" w:themeFillShade="D9"/>
            <w:vAlign w:val="center"/>
          </w:tcPr>
          <w:p w14:paraId="3C53035B" w14:textId="0F51F22C" w:rsidR="00A87DCF" w:rsidRPr="00A87DCF" w:rsidRDefault="00A87DCF" w:rsidP="00A87DCF">
            <w:pPr>
              <w:jc w:val="center"/>
              <w:rPr>
                <w:b/>
                <w:bCs/>
                <w:sz w:val="16"/>
                <w:szCs w:val="16"/>
              </w:rPr>
            </w:pPr>
            <w:r w:rsidRPr="00A87DCF">
              <w:rPr>
                <w:rFonts w:eastAsia="-webkit-standard" w:cs="-webkit-standard"/>
                <w:b/>
                <w:bCs/>
                <w:sz w:val="16"/>
                <w:szCs w:val="16"/>
              </w:rPr>
              <w:t>UNIVERSO DE 100 VIVIENDAS</w:t>
            </w:r>
          </w:p>
        </w:tc>
        <w:tc>
          <w:tcPr>
            <w:tcW w:w="1504" w:type="dxa"/>
            <w:shd w:val="clear" w:color="auto" w:fill="D9D9D9" w:themeFill="background1" w:themeFillShade="D9"/>
            <w:vAlign w:val="center"/>
          </w:tcPr>
          <w:p w14:paraId="57B491B0" w14:textId="62ED856B" w:rsidR="00A87DCF" w:rsidRPr="00A87DCF" w:rsidRDefault="00A87DCF" w:rsidP="00A87DCF">
            <w:pPr>
              <w:jc w:val="center"/>
              <w:rPr>
                <w:b/>
                <w:bCs/>
                <w:sz w:val="16"/>
                <w:szCs w:val="16"/>
              </w:rPr>
            </w:pPr>
            <w:r w:rsidRPr="00A87DCF">
              <w:rPr>
                <w:rFonts w:eastAsia="-webkit-standard" w:cs="-webkit-standard"/>
                <w:b/>
                <w:bCs/>
                <w:sz w:val="16"/>
                <w:szCs w:val="16"/>
              </w:rPr>
              <w:t>UNIVERSO DE 500 VIVIENDAS</w:t>
            </w:r>
          </w:p>
        </w:tc>
      </w:tr>
      <w:tr w:rsidR="00A87DCF" w:rsidRPr="00A87DCF" w14:paraId="3D60A796" w14:textId="77777777" w:rsidTr="00BF2380">
        <w:trPr>
          <w:trHeight w:val="216"/>
        </w:trPr>
        <w:tc>
          <w:tcPr>
            <w:tcW w:w="5654" w:type="dxa"/>
          </w:tcPr>
          <w:p w14:paraId="2548D6C0" w14:textId="77777777" w:rsidR="00A87DCF" w:rsidRPr="00A87DCF" w:rsidRDefault="00A87DCF">
            <w:pPr>
              <w:rPr>
                <w:sz w:val="16"/>
                <w:szCs w:val="16"/>
              </w:rPr>
            </w:pPr>
            <w:r w:rsidRPr="00A87DCF">
              <w:rPr>
                <w:rFonts w:eastAsia="-webkit-standard" w:cs="-webkit-standard"/>
                <w:sz w:val="16"/>
                <w:szCs w:val="16"/>
              </w:rPr>
              <w:t>Viviendas con estructura</w:t>
            </w:r>
          </w:p>
        </w:tc>
        <w:tc>
          <w:tcPr>
            <w:tcW w:w="1839" w:type="dxa"/>
          </w:tcPr>
          <w:p w14:paraId="76635C2A" w14:textId="77777777" w:rsidR="00A87DCF" w:rsidRPr="00A87DCF" w:rsidRDefault="00A87DCF" w:rsidP="00A87DCF">
            <w:pPr>
              <w:jc w:val="center"/>
              <w:rPr>
                <w:rFonts w:eastAsia="-webkit-standard" w:cs="-webkit-standard"/>
                <w:sz w:val="16"/>
                <w:szCs w:val="16"/>
              </w:rPr>
            </w:pPr>
            <w:r w:rsidRPr="00A87DCF">
              <w:rPr>
                <w:rFonts w:eastAsia="-webkit-standard" w:cs="-webkit-standard"/>
                <w:sz w:val="16"/>
                <w:szCs w:val="16"/>
              </w:rPr>
              <w:t>100%</w:t>
            </w:r>
          </w:p>
        </w:tc>
        <w:tc>
          <w:tcPr>
            <w:tcW w:w="1504" w:type="dxa"/>
          </w:tcPr>
          <w:p w14:paraId="5CD39DFC" w14:textId="77777777" w:rsidR="00A87DCF" w:rsidRPr="00A87DCF" w:rsidRDefault="00A87DCF" w:rsidP="00A87DCF">
            <w:pPr>
              <w:jc w:val="center"/>
              <w:rPr>
                <w:sz w:val="16"/>
                <w:szCs w:val="16"/>
              </w:rPr>
            </w:pPr>
            <w:r w:rsidRPr="00A87DCF">
              <w:rPr>
                <w:rFonts w:eastAsia="-webkit-standard" w:cs="-webkit-standard"/>
                <w:sz w:val="16"/>
                <w:szCs w:val="16"/>
              </w:rPr>
              <w:t>91,40%</w:t>
            </w:r>
          </w:p>
        </w:tc>
      </w:tr>
      <w:tr w:rsidR="00A87DCF" w:rsidRPr="00A87DCF" w14:paraId="4F1B706D" w14:textId="77777777" w:rsidTr="00BF2380">
        <w:trPr>
          <w:trHeight w:val="216"/>
        </w:trPr>
        <w:tc>
          <w:tcPr>
            <w:tcW w:w="5654" w:type="dxa"/>
          </w:tcPr>
          <w:p w14:paraId="4009F391" w14:textId="77777777" w:rsidR="00A87DCF" w:rsidRPr="00A87DCF" w:rsidRDefault="00A87DCF">
            <w:pPr>
              <w:rPr>
                <w:sz w:val="16"/>
                <w:szCs w:val="16"/>
              </w:rPr>
            </w:pPr>
            <w:r w:rsidRPr="00A87DCF">
              <w:rPr>
                <w:rFonts w:eastAsia="-webkit-standard" w:cs="-webkit-standard"/>
                <w:sz w:val="16"/>
                <w:szCs w:val="16"/>
              </w:rPr>
              <w:t>Viviendas con módulos</w:t>
            </w:r>
          </w:p>
        </w:tc>
        <w:tc>
          <w:tcPr>
            <w:tcW w:w="1839" w:type="dxa"/>
          </w:tcPr>
          <w:p w14:paraId="58D1E5DB" w14:textId="77777777" w:rsidR="00A87DCF" w:rsidRPr="00A87DCF" w:rsidRDefault="00A87DCF" w:rsidP="00A87DCF">
            <w:pPr>
              <w:jc w:val="center"/>
              <w:rPr>
                <w:sz w:val="16"/>
                <w:szCs w:val="16"/>
              </w:rPr>
            </w:pPr>
            <w:r w:rsidRPr="00A87DCF">
              <w:rPr>
                <w:rFonts w:eastAsia="-webkit-standard" w:cs="-webkit-standard"/>
                <w:sz w:val="16"/>
                <w:szCs w:val="16"/>
              </w:rPr>
              <w:t>100%</w:t>
            </w:r>
          </w:p>
        </w:tc>
        <w:tc>
          <w:tcPr>
            <w:tcW w:w="1504" w:type="dxa"/>
          </w:tcPr>
          <w:p w14:paraId="076BD6C8" w14:textId="77777777" w:rsidR="00A87DCF" w:rsidRPr="00A87DCF" w:rsidRDefault="00A87DCF" w:rsidP="00A87DCF">
            <w:pPr>
              <w:jc w:val="center"/>
              <w:rPr>
                <w:sz w:val="16"/>
                <w:szCs w:val="16"/>
              </w:rPr>
            </w:pPr>
            <w:r w:rsidRPr="00A87DCF">
              <w:rPr>
                <w:rFonts w:eastAsia="-webkit-standard" w:cs="-webkit-standard"/>
                <w:sz w:val="16"/>
                <w:szCs w:val="16"/>
              </w:rPr>
              <w:t>88,60%</w:t>
            </w:r>
          </w:p>
        </w:tc>
      </w:tr>
      <w:tr w:rsidR="00A87DCF" w:rsidRPr="00A87DCF" w14:paraId="6F704D73" w14:textId="77777777" w:rsidTr="00BF2380">
        <w:trPr>
          <w:trHeight w:val="216"/>
        </w:trPr>
        <w:tc>
          <w:tcPr>
            <w:tcW w:w="5654" w:type="dxa"/>
          </w:tcPr>
          <w:p w14:paraId="6AB4E128" w14:textId="54746DF3" w:rsidR="00A87DCF" w:rsidRPr="00A87DCF" w:rsidRDefault="00A87DCF">
            <w:pPr>
              <w:rPr>
                <w:sz w:val="16"/>
                <w:szCs w:val="16"/>
              </w:rPr>
            </w:pPr>
            <w:r w:rsidRPr="00A87DCF">
              <w:rPr>
                <w:rFonts w:eastAsia="-webkit-standard" w:cs="-webkit-standard"/>
                <w:sz w:val="16"/>
                <w:szCs w:val="16"/>
              </w:rPr>
              <w:t>Viviendas con micro inversores</w:t>
            </w:r>
          </w:p>
        </w:tc>
        <w:tc>
          <w:tcPr>
            <w:tcW w:w="1839" w:type="dxa"/>
          </w:tcPr>
          <w:p w14:paraId="382EBA63" w14:textId="77777777" w:rsidR="00A87DCF" w:rsidRPr="00A87DCF" w:rsidRDefault="00A87DCF" w:rsidP="00A87DCF">
            <w:pPr>
              <w:jc w:val="center"/>
              <w:rPr>
                <w:sz w:val="16"/>
                <w:szCs w:val="16"/>
              </w:rPr>
            </w:pPr>
            <w:r w:rsidRPr="00A87DCF">
              <w:rPr>
                <w:rFonts w:eastAsia="-webkit-standard" w:cs="-webkit-standard"/>
                <w:sz w:val="16"/>
                <w:szCs w:val="16"/>
              </w:rPr>
              <w:t>100%</w:t>
            </w:r>
          </w:p>
        </w:tc>
        <w:tc>
          <w:tcPr>
            <w:tcW w:w="1504" w:type="dxa"/>
          </w:tcPr>
          <w:p w14:paraId="73B12F4B" w14:textId="77777777" w:rsidR="00A87DCF" w:rsidRPr="00A87DCF" w:rsidRDefault="00A87DCF" w:rsidP="00A87DCF">
            <w:pPr>
              <w:jc w:val="center"/>
              <w:rPr>
                <w:sz w:val="16"/>
                <w:szCs w:val="16"/>
              </w:rPr>
            </w:pPr>
            <w:r w:rsidRPr="00A87DCF">
              <w:rPr>
                <w:rFonts w:eastAsia="-webkit-standard" w:cs="-webkit-standard"/>
                <w:sz w:val="16"/>
                <w:szCs w:val="16"/>
              </w:rPr>
              <w:t>24,60%</w:t>
            </w:r>
          </w:p>
        </w:tc>
      </w:tr>
      <w:tr w:rsidR="00A87DCF" w:rsidRPr="00A87DCF" w14:paraId="43B554EB" w14:textId="77777777" w:rsidTr="00BF2380">
        <w:trPr>
          <w:trHeight w:val="216"/>
        </w:trPr>
        <w:tc>
          <w:tcPr>
            <w:tcW w:w="5654" w:type="dxa"/>
          </w:tcPr>
          <w:p w14:paraId="425822B3" w14:textId="77777777" w:rsidR="00A87DCF" w:rsidRPr="00A87DCF" w:rsidRDefault="00A87DCF">
            <w:pPr>
              <w:rPr>
                <w:sz w:val="16"/>
                <w:szCs w:val="16"/>
              </w:rPr>
            </w:pPr>
            <w:r w:rsidRPr="00A87DCF">
              <w:rPr>
                <w:rFonts w:eastAsia="-webkit-standard" w:cs="-webkit-standard"/>
                <w:sz w:val="16"/>
                <w:szCs w:val="16"/>
              </w:rPr>
              <w:t>Viviendas con instalación interna, consumibles eléctricos y SPT</w:t>
            </w:r>
          </w:p>
        </w:tc>
        <w:tc>
          <w:tcPr>
            <w:tcW w:w="1839" w:type="dxa"/>
          </w:tcPr>
          <w:p w14:paraId="4A37F27C" w14:textId="77777777" w:rsidR="00A87DCF" w:rsidRPr="00A87DCF" w:rsidRDefault="00A87DCF" w:rsidP="00A87DCF">
            <w:pPr>
              <w:jc w:val="center"/>
              <w:rPr>
                <w:sz w:val="16"/>
                <w:szCs w:val="16"/>
              </w:rPr>
            </w:pPr>
            <w:r w:rsidRPr="00A87DCF">
              <w:rPr>
                <w:rFonts w:eastAsia="-webkit-standard" w:cs="-webkit-standard"/>
                <w:sz w:val="16"/>
                <w:szCs w:val="16"/>
              </w:rPr>
              <w:t>100%</w:t>
            </w:r>
          </w:p>
        </w:tc>
        <w:tc>
          <w:tcPr>
            <w:tcW w:w="1504" w:type="dxa"/>
          </w:tcPr>
          <w:p w14:paraId="5F5E677F" w14:textId="77777777" w:rsidR="00A87DCF" w:rsidRPr="00A87DCF" w:rsidRDefault="00A87DCF" w:rsidP="00A87DCF">
            <w:pPr>
              <w:jc w:val="center"/>
              <w:rPr>
                <w:sz w:val="16"/>
                <w:szCs w:val="16"/>
              </w:rPr>
            </w:pPr>
            <w:r w:rsidRPr="00A87DCF">
              <w:rPr>
                <w:rFonts w:eastAsia="-webkit-standard" w:cs="-webkit-standard"/>
                <w:sz w:val="16"/>
                <w:szCs w:val="16"/>
              </w:rPr>
              <w:t>28,00%</w:t>
            </w:r>
          </w:p>
        </w:tc>
      </w:tr>
      <w:tr w:rsidR="00A87DCF" w:rsidRPr="00A87DCF" w14:paraId="2429E9EA" w14:textId="77777777" w:rsidTr="00BF2380">
        <w:trPr>
          <w:trHeight w:val="216"/>
        </w:trPr>
        <w:tc>
          <w:tcPr>
            <w:tcW w:w="5654" w:type="dxa"/>
          </w:tcPr>
          <w:p w14:paraId="1E8796C9" w14:textId="77777777" w:rsidR="00A87DCF" w:rsidRPr="00A87DCF" w:rsidRDefault="00A87DCF">
            <w:pPr>
              <w:rPr>
                <w:sz w:val="16"/>
                <w:szCs w:val="16"/>
              </w:rPr>
            </w:pPr>
            <w:r w:rsidRPr="00A87DCF">
              <w:rPr>
                <w:rFonts w:eastAsia="-webkit-standard" w:cs="-webkit-standard"/>
                <w:sz w:val="16"/>
                <w:szCs w:val="16"/>
              </w:rPr>
              <w:t>Viviendas legalizadas ante operador de red, incluyendo certificación RETIE</w:t>
            </w:r>
          </w:p>
        </w:tc>
        <w:tc>
          <w:tcPr>
            <w:tcW w:w="1839" w:type="dxa"/>
          </w:tcPr>
          <w:p w14:paraId="52B06793" w14:textId="77777777" w:rsidR="00A87DCF" w:rsidRPr="00A87DCF" w:rsidRDefault="00A87DCF" w:rsidP="00A87DCF">
            <w:pPr>
              <w:jc w:val="center"/>
              <w:rPr>
                <w:rFonts w:eastAsia="-webkit-standard" w:cs="-webkit-standard"/>
                <w:sz w:val="16"/>
                <w:szCs w:val="16"/>
              </w:rPr>
            </w:pPr>
            <w:r w:rsidRPr="00A87DCF">
              <w:rPr>
                <w:rFonts w:eastAsia="-webkit-standard" w:cs="-webkit-standard"/>
                <w:sz w:val="16"/>
                <w:szCs w:val="16"/>
              </w:rPr>
              <w:t>0%</w:t>
            </w:r>
          </w:p>
        </w:tc>
        <w:tc>
          <w:tcPr>
            <w:tcW w:w="1504" w:type="dxa"/>
          </w:tcPr>
          <w:p w14:paraId="548241FA" w14:textId="77777777" w:rsidR="00A87DCF" w:rsidRPr="00A87DCF" w:rsidRDefault="00A87DCF" w:rsidP="00A87DCF">
            <w:pPr>
              <w:jc w:val="center"/>
              <w:rPr>
                <w:rFonts w:eastAsia="-webkit-standard" w:cs="-webkit-standard"/>
                <w:sz w:val="16"/>
                <w:szCs w:val="16"/>
              </w:rPr>
            </w:pPr>
            <w:r w:rsidRPr="00A87DCF">
              <w:rPr>
                <w:rFonts w:eastAsia="-webkit-standard" w:cs="-webkit-standard"/>
                <w:sz w:val="16"/>
                <w:szCs w:val="16"/>
              </w:rPr>
              <w:t>0%</w:t>
            </w:r>
          </w:p>
        </w:tc>
      </w:tr>
    </w:tbl>
    <w:p w14:paraId="76FF8488" w14:textId="77777777" w:rsidR="00A87DCF" w:rsidRPr="0094003A" w:rsidRDefault="00A87DCF" w:rsidP="00A87DCF">
      <w:pPr>
        <w:jc w:val="both"/>
        <w:rPr>
          <w:rFonts w:eastAsia="-webkit-standard" w:cs="-webkit-standard"/>
          <w:sz w:val="22"/>
          <w:szCs w:val="22"/>
        </w:rPr>
      </w:pPr>
    </w:p>
    <w:p w14:paraId="760E3DD6" w14:textId="07527F4D" w:rsidR="00A87DCF" w:rsidRPr="0094003A" w:rsidRDefault="00A87DCF" w:rsidP="00A87DCF">
      <w:pPr>
        <w:jc w:val="center"/>
        <w:rPr>
          <w:rFonts w:eastAsia="-webkit-standard" w:cs="-webkit-standard"/>
          <w:sz w:val="22"/>
          <w:szCs w:val="22"/>
        </w:rPr>
      </w:pPr>
      <w:r>
        <w:rPr>
          <w:noProof/>
        </w:rPr>
        <w:drawing>
          <wp:inline distT="0" distB="0" distL="0" distR="0" wp14:anchorId="29304564" wp14:editId="41565F68">
            <wp:extent cx="3822479" cy="2682928"/>
            <wp:effectExtent l="0" t="0" r="0" b="0"/>
            <wp:docPr id="20554783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8085" name="Picture 75618085"/>
                    <pic:cNvPicPr/>
                  </pic:nvPicPr>
                  <pic:blipFill>
                    <a:blip r:embed="rId9">
                      <a:extLst>
                        <a:ext uri="{28A0092B-C50C-407E-A947-70E740481C1C}">
                          <a14:useLocalDpi xmlns:a14="http://schemas.microsoft.com/office/drawing/2010/main"/>
                        </a:ext>
                      </a:extLst>
                    </a:blip>
                    <a:stretch>
                      <a:fillRect/>
                    </a:stretch>
                  </pic:blipFill>
                  <pic:spPr>
                    <a:xfrm>
                      <a:off x="0" y="0"/>
                      <a:ext cx="3822479" cy="2682928"/>
                    </a:xfrm>
                    <a:prstGeom prst="rect">
                      <a:avLst/>
                    </a:prstGeom>
                  </pic:spPr>
                </pic:pic>
              </a:graphicData>
            </a:graphic>
          </wp:inline>
        </w:drawing>
      </w:r>
    </w:p>
    <w:p w14:paraId="1B672418" w14:textId="15E99E50" w:rsidR="00A87DCF" w:rsidRPr="0094003A" w:rsidRDefault="00A87DCF" w:rsidP="00A87DCF">
      <w:pPr>
        <w:jc w:val="both"/>
        <w:rPr>
          <w:sz w:val="22"/>
          <w:szCs w:val="22"/>
        </w:rPr>
      </w:pPr>
      <w:r w:rsidRPr="0094003A">
        <w:rPr>
          <w:rFonts w:eastAsia="-webkit-standard" w:cs="-webkit-standard"/>
          <w:sz w:val="22"/>
          <w:szCs w:val="22"/>
        </w:rPr>
        <w:t xml:space="preserve">La comparación entre ambos cortes permite identificar un patrón de avance técnico escalonado. En el grupo inicial de 100 viviendas, el programa logró completar las principales actividades físicas de instalación, pero no la fase de legalización. En el universo ampliado de 500 viviendas, el avance es alto en estructuras y módulos, pero más bajo en </w:t>
      </w:r>
      <w:r w:rsidR="0064691A" w:rsidRPr="0094003A">
        <w:rPr>
          <w:rFonts w:eastAsia="-webkit-standard" w:cs="-webkit-standard"/>
          <w:sz w:val="22"/>
          <w:szCs w:val="22"/>
        </w:rPr>
        <w:t>micro inversores</w:t>
      </w:r>
      <w:r w:rsidRPr="0094003A">
        <w:rPr>
          <w:rFonts w:eastAsia="-webkit-standard" w:cs="-webkit-standard"/>
          <w:sz w:val="22"/>
          <w:szCs w:val="22"/>
        </w:rPr>
        <w:t xml:space="preserve"> e instalación interna. Esto sugiere que la obra física avanza por etapas y que los componentes asociados a equipos, conexiones internas, certificación y legalización son los principales cuellos de botella para consolidar el avance técnico como solución efectivamente terminada.</w:t>
      </w:r>
    </w:p>
    <w:p w14:paraId="0C856C1A" w14:textId="42C491C5" w:rsidR="00A87DCF" w:rsidRDefault="00A87DCF" w:rsidP="1851B6DD">
      <w:pPr>
        <w:jc w:val="both"/>
        <w:rPr>
          <w:sz w:val="22"/>
          <w:szCs w:val="22"/>
        </w:rPr>
      </w:pPr>
      <w:r w:rsidRPr="1851B6DD">
        <w:rPr>
          <w:rFonts w:eastAsia="-webkit-standard" w:cs="-webkit-standard"/>
          <w:sz w:val="22"/>
          <w:szCs w:val="22"/>
        </w:rPr>
        <w:t>Adicionalmente, la curva S proyectada en el caso de GECELCA permite contrastar la programación inicial frente al comportamiento de la ejecución. La meta técnica establecida correspondía al 20% de un universo de 2.500 usuarios, equivalente a 500 usuarios, con inicio constructivo el 1 de mayo de 2026 y fecha meta el 20 de mayo de 2026. La programación proyectada acumulaba 512 usuarios planeados al 20 de mayo, lo que permitía alcanzar la meta de referencia. Sin embargo, los datos visibles de ejecución temprana muestran un avance acumulado inicial inferior al programado durante los primeros días de mayo, con 12 usuarios ejecutados acumulados al 6 de mayo.</w:t>
      </w:r>
    </w:p>
    <w:p w14:paraId="6155B843" w14:textId="77777777" w:rsidR="00A87DCF" w:rsidRPr="0094003A" w:rsidRDefault="00A87DCF" w:rsidP="00A87DCF">
      <w:pPr>
        <w:jc w:val="center"/>
        <w:rPr>
          <w:rFonts w:eastAsia="-webkit-standard" w:cs="-webkit-standard"/>
          <w:sz w:val="22"/>
          <w:szCs w:val="22"/>
        </w:rPr>
      </w:pPr>
      <w:r>
        <w:rPr>
          <w:noProof/>
        </w:rPr>
        <w:lastRenderedPageBreak/>
        <w:drawing>
          <wp:inline distT="0" distB="0" distL="0" distR="0" wp14:anchorId="062803B5" wp14:editId="7E2ABB7E">
            <wp:extent cx="3826949" cy="2871196"/>
            <wp:effectExtent l="0" t="0" r="0" b="0"/>
            <wp:docPr id="19364162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773603" name="Picture 1835773603"/>
                    <pic:cNvPicPr/>
                  </pic:nvPicPr>
                  <pic:blipFill>
                    <a:blip r:embed="rId10">
                      <a:extLst>
                        <a:ext uri="{28A0092B-C50C-407E-A947-70E740481C1C}">
                          <a14:useLocalDpi xmlns:a14="http://schemas.microsoft.com/office/drawing/2010/main"/>
                        </a:ext>
                      </a:extLst>
                    </a:blip>
                    <a:stretch>
                      <a:fillRect/>
                    </a:stretch>
                  </pic:blipFill>
                  <pic:spPr>
                    <a:xfrm>
                      <a:off x="0" y="0"/>
                      <a:ext cx="3826949" cy="2871196"/>
                    </a:xfrm>
                    <a:prstGeom prst="rect">
                      <a:avLst/>
                    </a:prstGeom>
                  </pic:spPr>
                </pic:pic>
              </a:graphicData>
            </a:graphic>
          </wp:inline>
        </w:drawing>
      </w:r>
    </w:p>
    <w:p w14:paraId="308AD522" w14:textId="77777777" w:rsidR="00A87DCF" w:rsidRPr="0094003A" w:rsidRDefault="00A87DCF" w:rsidP="00A87DCF">
      <w:pPr>
        <w:jc w:val="both"/>
        <w:rPr>
          <w:sz w:val="22"/>
          <w:szCs w:val="22"/>
        </w:rPr>
      </w:pPr>
      <w:r w:rsidRPr="0094003A">
        <w:rPr>
          <w:rFonts w:eastAsia="-webkit-standard" w:cs="-webkit-standard"/>
          <w:sz w:val="22"/>
          <w:szCs w:val="22"/>
        </w:rPr>
        <w:t>Esta diferencia entre trayectoria proyectada y ejecución temprana muestra una brecha inicial de avance físico frente a la curva programada. No obstante, los reportes posteriores con corte al 25 de mayo evidencian una aceleración de actividades constructivas en componentes como estructuras y módulos, especialmente en el universo de 500 viviendas. En ese sentido, el avance físico debe leerse en dos tiempos: primero, una fase inicial con retraso frente a la curva S; segundo, una fase posterior de aceleración en instalación de componentes físicos, aunque todavía sin cierre de legalización y certificación.</w:t>
      </w:r>
    </w:p>
    <w:p w14:paraId="1D9A0096" w14:textId="77777777" w:rsidR="00A87DCF" w:rsidRPr="0094003A" w:rsidRDefault="00A87DCF" w:rsidP="00A87DCF">
      <w:pPr>
        <w:jc w:val="both"/>
        <w:rPr>
          <w:sz w:val="22"/>
          <w:szCs w:val="22"/>
        </w:rPr>
      </w:pPr>
      <w:r w:rsidRPr="0094003A">
        <w:rPr>
          <w:rFonts w:eastAsia="-webkit-standard" w:cs="-webkit-standard"/>
          <w:sz w:val="22"/>
          <w:szCs w:val="22"/>
        </w:rPr>
        <w:t xml:space="preserve">El avance técnico observado en Villas de San Pablo confirma la pertinencia de haber priorizado soluciones individuales de 1,5 </w:t>
      </w:r>
      <w:proofErr w:type="spellStart"/>
      <w:r w:rsidRPr="0094003A">
        <w:rPr>
          <w:rFonts w:eastAsia="-webkit-standard" w:cs="-webkit-standard"/>
          <w:sz w:val="22"/>
          <w:szCs w:val="22"/>
        </w:rPr>
        <w:t>kWn</w:t>
      </w:r>
      <w:proofErr w:type="spellEnd"/>
      <w:r w:rsidRPr="0094003A">
        <w:rPr>
          <w:rFonts w:eastAsia="-webkit-standard" w:cs="-webkit-standard"/>
          <w:sz w:val="22"/>
          <w:szCs w:val="22"/>
        </w:rPr>
        <w:t xml:space="preserve"> para la vigencia 2026. Este tipo de soluciones permite una implementación más ágil, modular y replicable que las soluciones centralizadas, dado que reduce la dependencia de grandes obras de infraestructura, diseños a la medida y tiempos prolongados de estructuración. En esa medida, el caso de Villas de San Pablo funciona como un piloto operativo para validar la capacidad de despliegue físico del programa en territorio.</w:t>
      </w:r>
    </w:p>
    <w:p w14:paraId="38152C05" w14:textId="558ACE32" w:rsidR="00A87DCF" w:rsidRPr="0094003A" w:rsidRDefault="00A87DCF" w:rsidP="00A87DCF">
      <w:pPr>
        <w:jc w:val="both"/>
        <w:rPr>
          <w:sz w:val="22"/>
          <w:szCs w:val="22"/>
        </w:rPr>
      </w:pPr>
      <w:r w:rsidRPr="0094003A">
        <w:rPr>
          <w:rFonts w:eastAsia="-webkit-standard" w:cs="-webkit-standard"/>
          <w:sz w:val="22"/>
          <w:szCs w:val="22"/>
        </w:rPr>
        <w:t xml:space="preserve">Sin embargo, los avances también muestran que la instalación física no equivale por sí sola a solución finalizada. Para efectos de seguimiento técnico, resulta necesario diferenciar al menos cinco estados de avance: vivienda con estructura, vivienda con módulos, vivienda con </w:t>
      </w:r>
      <w:r w:rsidR="00732E83" w:rsidRPr="0094003A">
        <w:rPr>
          <w:rFonts w:eastAsia="-webkit-standard" w:cs="-webkit-standard"/>
          <w:sz w:val="22"/>
          <w:szCs w:val="22"/>
        </w:rPr>
        <w:t>micro inversores</w:t>
      </w:r>
      <w:r w:rsidRPr="0094003A">
        <w:rPr>
          <w:rFonts w:eastAsia="-webkit-standard" w:cs="-webkit-standard"/>
          <w:sz w:val="22"/>
          <w:szCs w:val="22"/>
        </w:rPr>
        <w:t>, vivienda con instalación interna y sistema de puesta a tierra, y vivienda legalizada con certificación RETIE y condiciones de conexión validadas ante el operador de red. Esta diferenciación es indispensable para evitar sobreestimar el avance del programa y para garantizar que los reportes oficiales reflejen el estado real de la implementación.</w:t>
      </w:r>
    </w:p>
    <w:p w14:paraId="1F469821" w14:textId="77777777" w:rsidR="00A87DCF" w:rsidRPr="0094003A" w:rsidRDefault="00A87DCF" w:rsidP="00A87DCF">
      <w:pPr>
        <w:jc w:val="both"/>
        <w:rPr>
          <w:sz w:val="22"/>
          <w:szCs w:val="22"/>
        </w:rPr>
      </w:pPr>
      <w:r w:rsidRPr="0094003A">
        <w:rPr>
          <w:rFonts w:eastAsia="-webkit-standard" w:cs="-webkit-standard"/>
          <w:sz w:val="22"/>
          <w:szCs w:val="22"/>
        </w:rPr>
        <w:t>La principal alerta técnica se concentra en la legalización de las soluciones. Aunque los componentes físicos muestran avances relevantes, el avance de viviendas legalizadas ante el operador de red se mantiene en 0% para los cortes reportados. Además, se registra una nota técnica asociada a pruebas de parametrización para el tiempo de reconexión de cinco minutos de los equipos Must, de acuerdo con los requerimientos del operador de red AIR-E. Este aspecto evidencia que la entrada en operación de las soluciones depende no solo del montaje físico, sino también de validaciones técnicas, regulatorias y operativas con el operador.</w:t>
      </w:r>
    </w:p>
    <w:p w14:paraId="7246FB6F" w14:textId="7AC7B60B" w:rsidR="00A87DCF" w:rsidRPr="0094003A" w:rsidRDefault="00A87DCF" w:rsidP="00A87DCF">
      <w:pPr>
        <w:jc w:val="both"/>
        <w:rPr>
          <w:sz w:val="22"/>
          <w:szCs w:val="22"/>
        </w:rPr>
      </w:pPr>
      <w:r w:rsidRPr="0094003A">
        <w:rPr>
          <w:rFonts w:eastAsia="-webkit-standard" w:cs="-webkit-standard"/>
          <w:sz w:val="22"/>
          <w:szCs w:val="22"/>
        </w:rPr>
        <w:lastRenderedPageBreak/>
        <w:t xml:space="preserve">En consecuencia, el estado técnico de avance puede resumirse de la siguiente manera: alto avance en componentes físicos iniciales, avance medio-bajo en componentes eléctricos internos y </w:t>
      </w:r>
      <w:r w:rsidR="00732E83" w:rsidRPr="0094003A">
        <w:rPr>
          <w:rFonts w:eastAsia="-webkit-standard" w:cs="-webkit-standard"/>
          <w:sz w:val="22"/>
          <w:szCs w:val="22"/>
        </w:rPr>
        <w:t>micro inversores</w:t>
      </w:r>
      <w:r w:rsidRPr="0094003A">
        <w:rPr>
          <w:rFonts w:eastAsia="-webkit-standard" w:cs="-webkit-standard"/>
          <w:sz w:val="22"/>
          <w:szCs w:val="22"/>
        </w:rPr>
        <w:t xml:space="preserve"> para el universo ampliado, y avance crítico o pendiente en legalización, certificación RETIE y conexión operativa. Esta lectura permite orientar las acciones de seguimiento hacia los puntos que condicionan el cierre efectivo de las soluciones.</w:t>
      </w:r>
    </w:p>
    <w:p w14:paraId="3DC7BEB9" w14:textId="77777777" w:rsidR="00A87DCF" w:rsidRPr="0094003A" w:rsidRDefault="00A87DCF" w:rsidP="00A87DCF">
      <w:pPr>
        <w:jc w:val="both"/>
        <w:rPr>
          <w:sz w:val="22"/>
          <w:szCs w:val="22"/>
        </w:rPr>
      </w:pPr>
      <w:r w:rsidRPr="0094003A">
        <w:rPr>
          <w:rFonts w:eastAsia="-webkit-standard" w:cs="-webkit-standard"/>
          <w:sz w:val="22"/>
          <w:szCs w:val="22"/>
        </w:rPr>
        <w:t>El balance técnico del periodo evidencia que el Programa Colombia Solar avanzó en la consolidación de la focalización y en el inicio de la ejecución física de soluciones solares fotovoltaicas. La focalización presenta avances en procesamiento de información, validación de usuarios potenciales, recepción de datos departamentales y construcción de insumos metodológicos. La ejecución física muestra resultados concretos en Villas de San Pablo, con avances significativos en estructuras, módulos y componentes de instalación.</w:t>
      </w:r>
    </w:p>
    <w:p w14:paraId="32EC97C6" w14:textId="4EE0AB56" w:rsidR="00A87DCF" w:rsidRPr="0094003A" w:rsidRDefault="00A87DCF" w:rsidP="00A87DCF">
      <w:pPr>
        <w:jc w:val="both"/>
        <w:rPr>
          <w:sz w:val="22"/>
          <w:szCs w:val="22"/>
        </w:rPr>
      </w:pPr>
      <w:r w:rsidRPr="0094003A">
        <w:rPr>
          <w:rFonts w:eastAsia="-webkit-standard" w:cs="-webkit-standard"/>
          <w:sz w:val="22"/>
          <w:szCs w:val="22"/>
        </w:rPr>
        <w:t xml:space="preserve">No obstante, el programa enfrenta tres retos técnicos centrales. El primero consiste en cerrar la definición de la selección muestral y asegurar que los departamentos y usuarios priorizados cuenten con trazabilidad técnica suficiente. El segundo consiste en acelerar la instalación de </w:t>
      </w:r>
      <w:r w:rsidR="00732E83" w:rsidRPr="0094003A">
        <w:rPr>
          <w:rFonts w:eastAsia="-webkit-standard" w:cs="-webkit-standard"/>
          <w:sz w:val="22"/>
          <w:szCs w:val="22"/>
        </w:rPr>
        <w:t>micro inversores</w:t>
      </w:r>
      <w:r w:rsidRPr="0094003A">
        <w:rPr>
          <w:rFonts w:eastAsia="-webkit-standard" w:cs="-webkit-standard"/>
          <w:sz w:val="22"/>
          <w:szCs w:val="22"/>
        </w:rPr>
        <w:t xml:space="preserve"> e instalaciones internas en el universo ampliado de viviendas, dado que estos componentes presentan rezagos frente a estructuras y módulos. El tercero consiste en resolver los procesos de legalización, certificación RETIE, parametrización y conexión ante el operador de red, sin los cuales las soluciones no pueden considerarse plenamente terminadas ni operativas.</w:t>
      </w:r>
    </w:p>
    <w:p w14:paraId="17DD8B28" w14:textId="1FD7BE77" w:rsidR="00A87DCF" w:rsidRPr="0094003A" w:rsidRDefault="00A87DCF" w:rsidP="00A87DCF">
      <w:pPr>
        <w:jc w:val="both"/>
        <w:rPr>
          <w:sz w:val="22"/>
          <w:szCs w:val="22"/>
        </w:rPr>
      </w:pPr>
      <w:r w:rsidRPr="0094003A">
        <w:rPr>
          <w:rFonts w:eastAsia="-webkit-standard" w:cs="-webkit-standard"/>
          <w:sz w:val="22"/>
          <w:szCs w:val="22"/>
        </w:rPr>
        <w:t xml:space="preserve">En síntesis, el componente técnico de la política presenta avances importantes en focalización y ejecución física, especialmente por el inicio de actividades en Villas de San Pablo. Sin embargo, el cumplimiento pleno de la meta técnica depende de cerrar las brechas asociadas a </w:t>
      </w:r>
      <w:r w:rsidR="00732E83" w:rsidRPr="0094003A">
        <w:rPr>
          <w:rFonts w:eastAsia="-webkit-standard" w:cs="-webkit-standard"/>
          <w:sz w:val="22"/>
          <w:szCs w:val="22"/>
        </w:rPr>
        <w:t>micro inversores</w:t>
      </w:r>
      <w:r w:rsidRPr="0094003A">
        <w:rPr>
          <w:rFonts w:eastAsia="-webkit-standard" w:cs="-webkit-standard"/>
          <w:sz w:val="22"/>
          <w:szCs w:val="22"/>
        </w:rPr>
        <w:t>, instalación interna, certificación RETIE, parametrización y legalización ante el operador de red. La política avanza, pero su consolidación técnica exige fortalecer el seguimiento por hitos, la trazabilidad de evidencias y la articulación operativa con GECELCA, FENOGE, AIR-E y las instancias de interventoría correspondientes.</w:t>
      </w:r>
    </w:p>
    <w:p w14:paraId="4CCDE824" w14:textId="5A5EA6F9" w:rsidR="007E4229" w:rsidRPr="0094003A" w:rsidRDefault="00A87DCF" w:rsidP="007E4229">
      <w:pPr>
        <w:jc w:val="both"/>
        <w:rPr>
          <w:sz w:val="22"/>
          <w:szCs w:val="22"/>
        </w:rPr>
      </w:pPr>
      <w:r>
        <w:rPr>
          <w:rFonts w:eastAsia="-webkit-standard" w:cs="-webkit-standard"/>
          <w:sz w:val="22"/>
          <w:szCs w:val="22"/>
        </w:rPr>
        <w:t xml:space="preserve">Por otro lado, </w:t>
      </w:r>
      <w:r w:rsidR="00732E83">
        <w:rPr>
          <w:rFonts w:eastAsia="-webkit-standard" w:cs="-webkit-standard"/>
          <w:sz w:val="22"/>
          <w:szCs w:val="22"/>
        </w:rPr>
        <w:t xml:space="preserve">el </w:t>
      </w:r>
      <w:r w:rsidR="00732E83" w:rsidRPr="0094003A">
        <w:rPr>
          <w:rFonts w:eastAsia="-webkit-standard" w:cs="-webkit-standard"/>
          <w:sz w:val="22"/>
          <w:szCs w:val="22"/>
        </w:rPr>
        <w:t>frente</w:t>
      </w:r>
      <w:r w:rsidR="007E4229" w:rsidRPr="0094003A">
        <w:rPr>
          <w:rFonts w:eastAsia="-webkit-standard" w:cs="-webkit-standard"/>
          <w:sz w:val="22"/>
          <w:szCs w:val="22"/>
        </w:rPr>
        <w:t xml:space="preserve"> metodológico tiene una relación directa con los indicadores asociados a la realización de estudios integrales, la delimitación del universo de intervención, la identificación del potencial solar y la priorización de municipios con condiciones técnicas, sociales y económicas favorables. En este sentido, los documentos nacionales y departamentales no son únicamente productos internos de apoyo, sino evidencias fundamentales del avance institucional del programa.</w:t>
      </w:r>
    </w:p>
    <w:p w14:paraId="124F9E00" w14:textId="77777777" w:rsidR="007E4229" w:rsidRPr="0094003A" w:rsidRDefault="007E4229" w:rsidP="007E4229">
      <w:pPr>
        <w:jc w:val="both"/>
        <w:rPr>
          <w:sz w:val="22"/>
          <w:szCs w:val="22"/>
        </w:rPr>
      </w:pPr>
      <w:r w:rsidRPr="0094003A">
        <w:rPr>
          <w:rFonts w:eastAsia="-webkit-standard" w:cs="-webkit-standard"/>
          <w:sz w:val="22"/>
          <w:szCs w:val="22"/>
        </w:rPr>
        <w:t>La meta de catorce documentos permite organizar el seguimiento metodológico bajo una lógica de avance por producto. De estos catorce documentos, cuatro corresponden a documentos nacionales y diez a documentos departamentales. Al corte del seguimiento, se encuentran finalizados cinco productos estratégicos: el Plan de Gestión Social, el documento de divulgación, el Protocolo de Transporte, el documento de Riesgo Organizacional y el documento del Atlántico. Estos documentos se encuentran en proceso de publicación por parte de Comunicaciones del Ministerio de Minas y Energía.</w:t>
      </w:r>
    </w:p>
    <w:p w14:paraId="136D0F37" w14:textId="49C498D4" w:rsidR="007E4229" w:rsidRPr="0094003A" w:rsidRDefault="007E4229" w:rsidP="007E4229">
      <w:pPr>
        <w:jc w:val="both"/>
        <w:rPr>
          <w:sz w:val="22"/>
          <w:szCs w:val="22"/>
        </w:rPr>
      </w:pPr>
      <w:r w:rsidRPr="0094003A">
        <w:rPr>
          <w:rFonts w:eastAsia="-webkit-standard" w:cs="-webkit-standard"/>
          <w:sz w:val="22"/>
          <w:szCs w:val="22"/>
        </w:rPr>
        <w:t xml:space="preserve">Este avance permite afirmar que el frente metodológico presenta un cumplimiento significativo en la producción de los documentos nacionales, dado que los cuatro documentos de alcance </w:t>
      </w:r>
      <w:r w:rsidRPr="0094003A">
        <w:rPr>
          <w:rFonts w:eastAsia="-webkit-standard" w:cs="-webkit-standard"/>
          <w:sz w:val="22"/>
          <w:szCs w:val="22"/>
        </w:rPr>
        <w:lastRenderedPageBreak/>
        <w:t>nacional se encuentran finalizados. A su vez, en la línea departamental se cuenta con un primer documento finalizado, Atlántico, un documento en diagramación, Córdoba, y tres documentos pendientes de insumos técnicos, Bolívar, Arauca y Cesar. Esta situación muestra un avance claro en la producción metodológica</w:t>
      </w:r>
      <w:r w:rsidR="0064583C">
        <w:rPr>
          <w:rFonts w:eastAsia="-webkit-standard" w:cs="-webkit-standard"/>
          <w:sz w:val="22"/>
          <w:szCs w:val="22"/>
        </w:rPr>
        <w:t>.</w:t>
      </w:r>
    </w:p>
    <w:p w14:paraId="3DFC5D9E" w14:textId="00419326" w:rsidR="00A87DCF" w:rsidRDefault="007E4229" w:rsidP="000A6112">
      <w:pPr>
        <w:jc w:val="both"/>
        <w:rPr>
          <w:sz w:val="22"/>
          <w:szCs w:val="22"/>
        </w:rPr>
      </w:pPr>
      <w:r w:rsidRPr="0094003A">
        <w:rPr>
          <w:rFonts w:eastAsia="-webkit-standard" w:cs="-webkit-standard"/>
          <w:sz w:val="22"/>
          <w:szCs w:val="22"/>
        </w:rPr>
        <w:t>El estado de avance del frente metodológico puede calificarse como alto, especialmente en lo relativo a los documentos nacionales. La finalización del Plan de Gestión Social, el documento de divulgación, el Protocolo de Transporte y el documento de Riesgo Organizacional evidencia una consolidación importante de los instrumentos transversales que orientan la implementación, comunicación, operación y gestión interna del Programa Colombia Solar.</w:t>
      </w:r>
    </w:p>
    <w:p w14:paraId="23C2CA90" w14:textId="6A6ECD45" w:rsidR="00823049" w:rsidRDefault="00823049" w:rsidP="00823049">
      <w:pPr>
        <w:pStyle w:val="Ttulo2"/>
        <w:rPr>
          <w:b/>
          <w:color w:val="auto"/>
          <w:sz w:val="22"/>
          <w:szCs w:val="22"/>
        </w:rPr>
      </w:pPr>
      <w:bookmarkStart w:id="22" w:name="_Toc233023705"/>
      <w:r>
        <w:rPr>
          <w:b/>
          <w:color w:val="auto"/>
          <w:sz w:val="22"/>
          <w:szCs w:val="22"/>
        </w:rPr>
        <w:t>4</w:t>
      </w:r>
      <w:r w:rsidRPr="00316EFC">
        <w:rPr>
          <w:b/>
          <w:color w:val="auto"/>
          <w:sz w:val="22"/>
          <w:szCs w:val="22"/>
        </w:rPr>
        <w:t>.</w:t>
      </w:r>
      <w:r w:rsidR="00B53930">
        <w:rPr>
          <w:b/>
          <w:color w:val="auto"/>
          <w:sz w:val="22"/>
          <w:szCs w:val="22"/>
        </w:rPr>
        <w:t>8</w:t>
      </w:r>
      <w:r w:rsidRPr="00316EFC">
        <w:rPr>
          <w:b/>
          <w:color w:val="auto"/>
          <w:sz w:val="22"/>
          <w:szCs w:val="22"/>
        </w:rPr>
        <w:t>. Frente Técnico General</w:t>
      </w:r>
      <w:bookmarkEnd w:id="22"/>
    </w:p>
    <w:p w14:paraId="5FDDCFD2" w14:textId="77777777" w:rsidR="00E74B96" w:rsidRPr="00E74B96" w:rsidRDefault="00E74B96" w:rsidP="00E74B96">
      <w:pPr>
        <w:spacing w:after="0"/>
      </w:pPr>
    </w:p>
    <w:p w14:paraId="4845D4CB" w14:textId="77777777" w:rsidR="00E74B96" w:rsidRPr="0094003A" w:rsidRDefault="00E74B96" w:rsidP="00E74B96">
      <w:pPr>
        <w:jc w:val="both"/>
        <w:rPr>
          <w:sz w:val="22"/>
          <w:szCs w:val="22"/>
        </w:rPr>
      </w:pPr>
      <w:r w:rsidRPr="0094003A">
        <w:rPr>
          <w:rFonts w:eastAsia="-webkit-standard" w:cs="-webkit-standard"/>
          <w:sz w:val="22"/>
          <w:szCs w:val="22"/>
        </w:rPr>
        <w:t>En materia de focalización, el Programa Colombia Solar avanzó en la construcción y aplicación de criterios técnicos para delimitar el universo de intervención, identificar usuarios potenciales y priorizar territorios con condiciones favorables para la implementación de soluciones solares fotovoltaicas. Este proceso se encuentra directamente relacionado con el objetivo del programa de beneficiar a usuarios de estratos 1, 2 y 3 del Sistema Interconectado Nacional, mediante soluciones de autogeneración que contribuyan a reducir el costo del servicio eléctrico y garantizar hasta el consumo básico de subsistencia.</w:t>
      </w:r>
    </w:p>
    <w:p w14:paraId="3A014E4E" w14:textId="77777777" w:rsidR="00E74B96" w:rsidRPr="0094003A" w:rsidRDefault="00E74B96" w:rsidP="00E74B96">
      <w:pPr>
        <w:jc w:val="both"/>
        <w:rPr>
          <w:sz w:val="22"/>
          <w:szCs w:val="22"/>
        </w:rPr>
      </w:pPr>
      <w:r w:rsidRPr="0094003A">
        <w:rPr>
          <w:rFonts w:eastAsia="-webkit-standard" w:cs="-webkit-standard"/>
          <w:sz w:val="22"/>
          <w:szCs w:val="22"/>
        </w:rPr>
        <w:t>Durante el periodo reportado, el frente técnico adelantó actividades de validación, procesamiento y análisis de bases de datos, incluyendo información de facturación, información de operadores de red, cruces internos de usuarios y variables de elegibilidad. Estos ejercicios permitieron avanzar en la depuración de universos potenciales de beneficiarios y en la identificación de hogares que cumplen condiciones técnicas y socioeconómicas para ser priorizados dentro del programa.</w:t>
      </w:r>
    </w:p>
    <w:p w14:paraId="5F25E904" w14:textId="77777777" w:rsidR="00E74B96" w:rsidRPr="0094003A" w:rsidRDefault="00E74B96" w:rsidP="00E74B96">
      <w:pPr>
        <w:jc w:val="both"/>
        <w:rPr>
          <w:sz w:val="22"/>
          <w:szCs w:val="22"/>
        </w:rPr>
      </w:pPr>
      <w:r w:rsidRPr="0094003A">
        <w:rPr>
          <w:rFonts w:eastAsia="-webkit-standard" w:cs="-webkit-standard"/>
          <w:sz w:val="22"/>
          <w:szCs w:val="22"/>
        </w:rPr>
        <w:t>En los informes de seguimiento dentro del equipo del programa se reportan avances en ejercicios de selección muestral y validación de información para territorios como Barrancabermeja, Barranquilla y otros territorios priorizados. También se registra la recepción de información técnica para departamentos como Córdoba, La Guajira, Magdalena, Sucre, Arauca, Bolívar, Huila, Chocó, Nariño, Meta y Caquetá, no obstante, esto se dio luego de superarse contingencias asociadas al Sistema Único de Información y la precisión de datos suministrados. Estos insumos son fundamentales para la construcción de documentos técnicos departamentales, la definición de usuarios potenciales y la orientación de las decisiones de intervención territorial.</w:t>
      </w:r>
    </w:p>
    <w:p w14:paraId="4C6920C2" w14:textId="77777777" w:rsidR="00E74B96" w:rsidRPr="0094003A" w:rsidRDefault="00E74B96" w:rsidP="00E74B96">
      <w:pPr>
        <w:jc w:val="both"/>
        <w:rPr>
          <w:sz w:val="22"/>
          <w:szCs w:val="22"/>
        </w:rPr>
      </w:pPr>
      <w:r w:rsidRPr="0094003A">
        <w:rPr>
          <w:rFonts w:eastAsia="-webkit-standard" w:cs="-webkit-standard"/>
          <w:sz w:val="22"/>
          <w:szCs w:val="22"/>
        </w:rPr>
        <w:t xml:space="preserve">Para el corte correspondiente a la semana del 1 al 5 de junio, el seguimiento técnico reporta un avance asociado al departamento del Magdalena, particularmente en relación con la selección muestral de municipios y barrios. Este nuevo insumo amplía el alcance territorial de los procesos de focalización y confirma que la etapa técnica del programa continúa avanzando en la depuración de información, identificación de territorios potenciales y consolidación de insumos para la priorización de usuarios. No obstante, el informe señala como reto el cargue de evidencias correspondientes a dichos avances, por lo que la focalización del Magdalena debe </w:t>
      </w:r>
      <w:r w:rsidRPr="0094003A">
        <w:rPr>
          <w:rFonts w:eastAsia="-webkit-standard" w:cs="-webkit-standard"/>
          <w:sz w:val="22"/>
          <w:szCs w:val="22"/>
        </w:rPr>
        <w:lastRenderedPageBreak/>
        <w:t>ser incorporada como actividad en proceso de consolidación y pendiente de soporte documental completo.</w:t>
      </w:r>
    </w:p>
    <w:p w14:paraId="781A984D" w14:textId="77777777" w:rsidR="00E74B96" w:rsidRPr="0094003A" w:rsidRDefault="00E74B96" w:rsidP="00E74B96">
      <w:pPr>
        <w:jc w:val="both"/>
        <w:rPr>
          <w:sz w:val="22"/>
          <w:szCs w:val="22"/>
        </w:rPr>
      </w:pPr>
      <w:r w:rsidRPr="0094003A">
        <w:rPr>
          <w:rFonts w:eastAsia="-webkit-standard" w:cs="-webkit-standard"/>
          <w:sz w:val="22"/>
          <w:szCs w:val="22"/>
        </w:rPr>
        <w:t>Sin embargo, el seguimiento también identifica retos importantes. En particular, se requiere precisar los departamentos sobre los cuales se realizará la selección muestral definitiva, fortalecer la gobernanza de la información técnica y asegurar que los insumos utilizados para la identificación de usuarios sean trazables, verificables y estén debidamente soportados en el repositorio documental del programa. Esta necesidad fue señalada como una actividad crítica en los seguimientos realizados al equipo, debido a que la focalización constituye el punto de partida para garantizar que la ejecución física se oriente efectivamente hacia los hogares priorizados.</w:t>
      </w:r>
    </w:p>
    <w:p w14:paraId="6C2D7984" w14:textId="06D092AB" w:rsidR="000F2E5A" w:rsidRDefault="00E74B96" w:rsidP="00C17C56">
      <w:pPr>
        <w:jc w:val="both"/>
        <w:rPr>
          <w:rFonts w:eastAsia="-webkit-standard" w:cs="-webkit-standard"/>
          <w:sz w:val="22"/>
          <w:szCs w:val="22"/>
        </w:rPr>
      </w:pPr>
      <w:r w:rsidRPr="0094003A">
        <w:rPr>
          <w:rFonts w:eastAsia="-webkit-standard" w:cs="-webkit-standard"/>
          <w:sz w:val="22"/>
          <w:szCs w:val="22"/>
        </w:rPr>
        <w:t>En este sentido, el avance técnico en focalización puede calificarse como un avance sustantivo en proceso de consolidación. La política cuenta con criterios, insumos, bases de datos y ejercicios de validación en curso, pero requiere cerrar la definición operativa de la selección muestral y robustecer la trazabilidad documental de las decisiones para evitar reprocesos, diferencias de interpretación o retrasos en la ejecución territorial.</w:t>
      </w:r>
    </w:p>
    <w:p w14:paraId="363A7EC0" w14:textId="7EF72AC8" w:rsidR="00823049" w:rsidRDefault="00823049" w:rsidP="00823049">
      <w:pPr>
        <w:pStyle w:val="Ttulo2"/>
        <w:rPr>
          <w:b/>
          <w:color w:val="auto"/>
          <w:sz w:val="22"/>
          <w:szCs w:val="22"/>
        </w:rPr>
      </w:pPr>
      <w:bookmarkStart w:id="23" w:name="_Toc233023706"/>
      <w:r>
        <w:rPr>
          <w:b/>
          <w:color w:val="auto"/>
          <w:sz w:val="22"/>
          <w:szCs w:val="22"/>
        </w:rPr>
        <w:t>4</w:t>
      </w:r>
      <w:r w:rsidRPr="00316EFC">
        <w:rPr>
          <w:b/>
          <w:color w:val="auto"/>
          <w:sz w:val="22"/>
          <w:szCs w:val="22"/>
        </w:rPr>
        <w:t>.</w:t>
      </w:r>
      <w:r w:rsidR="00B53930">
        <w:rPr>
          <w:b/>
          <w:color w:val="auto"/>
          <w:sz w:val="22"/>
          <w:szCs w:val="22"/>
        </w:rPr>
        <w:t>9</w:t>
      </w:r>
      <w:r w:rsidRPr="00316EFC">
        <w:rPr>
          <w:b/>
          <w:color w:val="auto"/>
          <w:sz w:val="22"/>
          <w:szCs w:val="22"/>
        </w:rPr>
        <w:t>. Frente Jurídico Contractual FENOGE y GECELCA</w:t>
      </w:r>
      <w:bookmarkEnd w:id="23"/>
    </w:p>
    <w:p w14:paraId="296CDF88" w14:textId="77777777" w:rsidR="00F64FF8" w:rsidRPr="00F64FF8" w:rsidRDefault="00F64FF8" w:rsidP="00F64FF8">
      <w:pPr>
        <w:spacing w:after="0"/>
      </w:pPr>
    </w:p>
    <w:p w14:paraId="7BECC543" w14:textId="77777777" w:rsidR="00F64FF8" w:rsidRPr="0094003A" w:rsidRDefault="00F64FF8" w:rsidP="00F64FF8">
      <w:pPr>
        <w:jc w:val="both"/>
        <w:rPr>
          <w:sz w:val="22"/>
          <w:szCs w:val="22"/>
        </w:rPr>
      </w:pPr>
      <w:r w:rsidRPr="0094003A">
        <w:rPr>
          <w:rFonts w:eastAsia="-webkit-standard" w:cs="-webkit-standard"/>
          <w:sz w:val="22"/>
          <w:szCs w:val="22"/>
        </w:rPr>
        <w:t>En el componente contractual, el Programa Colombia Solar avanzó en la estructuración de mecanismos de seguimiento jurídico, técnico y administrativo a los contratos y convenios suscritos con los principales ejecutores, especialmente FENOGE y GECELCA. Este componente es central para la política pública, en la medida en que permite verificar el cumplimiento de las obligaciones contractuales, articular la supervisión e interventoría, revisar informes de ejecución, identificar riesgos legales y formular recomendaciones orientadas a garantizar que las actuaciones de los ejecutores se desarrollen conforme al marco jurídico aplicable.</w:t>
      </w:r>
    </w:p>
    <w:p w14:paraId="4558A103" w14:textId="77777777" w:rsidR="00F64FF8" w:rsidRPr="0094003A" w:rsidRDefault="00F64FF8" w:rsidP="00F64FF8">
      <w:pPr>
        <w:jc w:val="both"/>
        <w:rPr>
          <w:sz w:val="22"/>
          <w:szCs w:val="22"/>
        </w:rPr>
      </w:pPr>
      <w:r w:rsidRPr="0094003A">
        <w:rPr>
          <w:rFonts w:eastAsia="-webkit-standard" w:cs="-webkit-standard"/>
          <w:sz w:val="22"/>
          <w:szCs w:val="22"/>
        </w:rPr>
        <w:t>El seguimiento contractual se ha organizado a partir de dos frentes complementarios. El primero corresponde al frente jurídico contractual FENOGE y GECELCA, encargado del análisis jurídico de los instrumentos contractuales, la interpretación normativa, la identificación de riesgos legales y la formulación de recomendaciones jurídicas. El segundo corresponde al frente PMO de seguimiento a contratos FENOGE y GECELCA, encargado de apoyar la articulación técnica de los ejecutores con la PMO del Ministerio, hacer seguimiento a la instalación de soluciones, revisar reportes de indicadores y consolidar información para la alta dirección.</w:t>
      </w:r>
    </w:p>
    <w:p w14:paraId="7425CBB9" w14:textId="77777777" w:rsidR="00F64FF8" w:rsidRPr="0094003A" w:rsidRDefault="00F64FF8" w:rsidP="00F64FF8">
      <w:pPr>
        <w:jc w:val="both"/>
        <w:rPr>
          <w:sz w:val="22"/>
          <w:szCs w:val="22"/>
        </w:rPr>
      </w:pPr>
      <w:r w:rsidRPr="0094003A">
        <w:rPr>
          <w:rFonts w:eastAsia="-webkit-standard" w:cs="-webkit-standard"/>
          <w:sz w:val="22"/>
          <w:szCs w:val="22"/>
        </w:rPr>
        <w:t>Durante el periodo acumulado de enero a mayo se reportó la definición de mesas técnicas con FENOGE a partir de abril, dado que previamente no se contaba con estos espacios de manera estructurada. Este avance permitió formalizar escenarios de interlocución técnica y contractual, necesarios para revisar compromisos, validar avances, identificar alertas y generar trazabilidad sobre las decisiones asociadas a la ejecución. Asimismo, se implementaron mecanismos de seguimiento contractual y técnico mediante mesas técnicas y mesas de aprobación, fortaleciendo la capacidad del Ministerio para observar el cumplimiento de obligaciones de los ejecutores.</w:t>
      </w:r>
    </w:p>
    <w:p w14:paraId="69057E07" w14:textId="77777777" w:rsidR="00F64FF8" w:rsidRPr="0094003A" w:rsidRDefault="00F64FF8" w:rsidP="00F64FF8">
      <w:pPr>
        <w:jc w:val="both"/>
        <w:rPr>
          <w:sz w:val="22"/>
          <w:szCs w:val="22"/>
        </w:rPr>
      </w:pPr>
      <w:r w:rsidRPr="0094003A">
        <w:rPr>
          <w:rFonts w:eastAsia="-webkit-standard" w:cs="-webkit-standard"/>
          <w:sz w:val="22"/>
          <w:szCs w:val="22"/>
        </w:rPr>
        <w:t xml:space="preserve">Un avance relevante del componente contractual fue la definición de criterios para determinar cuándo una solución fotovoltaica puede considerarse efectivamente terminada, </w:t>
      </w:r>
      <w:r w:rsidRPr="0094003A">
        <w:rPr>
          <w:rFonts w:eastAsia="-webkit-standard" w:cs="-webkit-standard"/>
          <w:sz w:val="22"/>
          <w:szCs w:val="22"/>
        </w:rPr>
        <w:lastRenderedPageBreak/>
        <w:t>particularmente cuando cuenta con la certificación correspondiente. Esta precisión es fundamental para evitar que el seguimiento contractual se limite al reporte de instalaciones físicas y permite diferenciar entre soluciones instaladas, certificadas, legalizadas ante operador de red y efectivamente en operación.</w:t>
      </w:r>
    </w:p>
    <w:p w14:paraId="12C0BC45" w14:textId="77777777" w:rsidR="00F64FF8" w:rsidRPr="0094003A" w:rsidRDefault="00F64FF8" w:rsidP="00F64FF8">
      <w:pPr>
        <w:jc w:val="both"/>
        <w:rPr>
          <w:sz w:val="22"/>
          <w:szCs w:val="22"/>
        </w:rPr>
      </w:pPr>
      <w:r w:rsidRPr="0094003A">
        <w:rPr>
          <w:rFonts w:eastAsia="-webkit-standard" w:cs="-webkit-standard"/>
          <w:sz w:val="22"/>
          <w:szCs w:val="22"/>
        </w:rPr>
        <w:t>También se reportó el trabajo conjunto con la matriz de GECELCA, la cual debe articularse con el seguimiento de PMO por parte del Ministerio de Minas y Energía. Esta matriz constituye un instrumento clave para relacionar avances físicos, obligaciones contractuales, productos, cronogramas, riesgos y soportes documentales. En los reportes más recientes se informó la actualización de la matriz de seguimiento de GECELCA para la elaboración de un informe de PMO dirigido a la alta dirección del Ministerio, así como la realización de observaciones al informe presentado por GECELCA.</w:t>
      </w:r>
    </w:p>
    <w:p w14:paraId="070361DC" w14:textId="77777777" w:rsidR="00F64FF8" w:rsidRPr="0094003A" w:rsidRDefault="00F64FF8" w:rsidP="00F64FF8">
      <w:pPr>
        <w:jc w:val="both"/>
        <w:rPr>
          <w:sz w:val="22"/>
          <w:szCs w:val="22"/>
        </w:rPr>
      </w:pPr>
      <w:r w:rsidRPr="0094003A">
        <w:rPr>
          <w:rFonts w:eastAsia="-webkit-standard" w:cs="-webkit-standard"/>
          <w:sz w:val="22"/>
          <w:szCs w:val="22"/>
        </w:rPr>
        <w:t>En relación con los informes de ejecución, el seguimiento evidencia avances progresivos. Se reportaron informes de ejecución de GECELCA y FENOGE correspondientes a febrero y marzo, avances en la elaboración de informes de abril, y posteriormente la consolidación del informe de abril y mayo para GECELCA. Para FENOGE se reportó que el informe de abril se encontraba terminado y que la unificación del informe de mayo estaba en elaboración. Adicionalmente, FENOGE remitió un informe trimestral, sobre el cual se realizaron observaciones que debían ser socializadas en reunión posterior.</w:t>
      </w:r>
    </w:p>
    <w:p w14:paraId="27CDF0A4" w14:textId="77777777" w:rsidR="00F64FF8" w:rsidRPr="0094003A" w:rsidRDefault="00F64FF8" w:rsidP="00F64FF8">
      <w:pPr>
        <w:jc w:val="both"/>
        <w:rPr>
          <w:sz w:val="22"/>
          <w:szCs w:val="22"/>
        </w:rPr>
      </w:pPr>
      <w:r w:rsidRPr="0094003A">
        <w:rPr>
          <w:rFonts w:eastAsia="-webkit-standard" w:cs="-webkit-standard"/>
          <w:sz w:val="22"/>
          <w:szCs w:val="22"/>
        </w:rPr>
        <w:t>En materia de actas y soportes, se informó la elaboración de cuatro actas de reunión y su cargue en el repositorio, así como la preparación de actas de reuniones recientes, pendientes de revisión. Este avance fortalece la trazabilidad de las mesas técnicas y de seguimiento, aunque también evidencia la necesidad de asegurar que todas las reuniones relevantes cuenten con actas aprobadas, soportes cargados y compromisos claramente asignados.</w:t>
      </w:r>
    </w:p>
    <w:p w14:paraId="22959481" w14:textId="77777777" w:rsidR="00F64FF8" w:rsidRPr="0094003A" w:rsidRDefault="00F64FF8" w:rsidP="00F64FF8">
      <w:pPr>
        <w:jc w:val="both"/>
        <w:rPr>
          <w:sz w:val="22"/>
          <w:szCs w:val="22"/>
        </w:rPr>
      </w:pPr>
      <w:r w:rsidRPr="0094003A">
        <w:rPr>
          <w:rFonts w:eastAsia="-webkit-standard" w:cs="-webkit-standard"/>
          <w:sz w:val="22"/>
          <w:szCs w:val="22"/>
        </w:rPr>
        <w:t>El componente contractual también ha permitido identificar retos críticos. Uno de los principales consiste en fortalecer la trazabilidad documental de las comunicaciones con GECELCA, especialmente en lo relacionado con la claridad interna, la recepción, la canalización de respuestas a requerimientos del Ministerio y la oportunidad en la revisión y seguimiento. Este punto fue identificado como una actividad crítica susceptible de validación y escalamiento a la alta dirección.</w:t>
      </w:r>
    </w:p>
    <w:p w14:paraId="5F6ED2EE" w14:textId="77777777" w:rsidR="00F64FF8" w:rsidRPr="0094003A" w:rsidRDefault="00F64FF8" w:rsidP="00F64FF8">
      <w:pPr>
        <w:jc w:val="both"/>
        <w:rPr>
          <w:sz w:val="22"/>
          <w:szCs w:val="22"/>
        </w:rPr>
      </w:pPr>
      <w:r w:rsidRPr="0094003A">
        <w:rPr>
          <w:rFonts w:eastAsia="-webkit-standard" w:cs="-webkit-standard"/>
          <w:sz w:val="22"/>
          <w:szCs w:val="22"/>
        </w:rPr>
        <w:t>Otro reto consiste en ampliar el alcance de los informes de seguimiento contractual. Los informes revisados señalan la necesidad de que el monitoreo no se limite a aspectos generales del objeto contractual, estado financiero, pólizas, ajustes, alertas y riesgos, sino que incorpore de manera integral todas las obligaciones pactadas contractualmente. Esta recomendación resulta clave para reducir riesgos de vacíos de seguimiento, materialización de incumplimientos, pérdida de control sobre obligaciones críticas y limitaciones para la identificación temprana de contingencias.</w:t>
      </w:r>
    </w:p>
    <w:p w14:paraId="399EEBE6" w14:textId="77777777" w:rsidR="00F64FF8" w:rsidRPr="0094003A" w:rsidRDefault="00F64FF8" w:rsidP="00F64FF8">
      <w:pPr>
        <w:jc w:val="both"/>
        <w:rPr>
          <w:sz w:val="22"/>
          <w:szCs w:val="22"/>
        </w:rPr>
      </w:pPr>
      <w:r w:rsidRPr="0094003A">
        <w:rPr>
          <w:rFonts w:eastAsia="-webkit-standard" w:cs="-webkit-standard"/>
          <w:sz w:val="22"/>
          <w:szCs w:val="22"/>
        </w:rPr>
        <w:t xml:space="preserve">También se identificó la necesidad de optimizar los tiempos de entrega y revisión de documentos por parte de los ejecutores, así como fortalecer el uso de canales oficiales para las comunicaciones. Los informes advierten que la gestión contractual debe evitar depender de comunicaciones informales y debe privilegiar el correo electrónico, los sistemas oficiales de </w:t>
      </w:r>
      <w:r w:rsidRPr="0094003A">
        <w:rPr>
          <w:rFonts w:eastAsia="-webkit-standard" w:cs="-webkit-standard"/>
          <w:sz w:val="22"/>
          <w:szCs w:val="22"/>
        </w:rPr>
        <w:lastRenderedPageBreak/>
        <w:t>gestión documental, el repositorio de evidencias y los soportes cargados en las plataformas correspondientes.</w:t>
      </w:r>
    </w:p>
    <w:p w14:paraId="40F71004" w14:textId="7CE2A0A0" w:rsidR="00F64FF8" w:rsidRPr="00F64FF8" w:rsidRDefault="00F64FF8" w:rsidP="00014541">
      <w:pPr>
        <w:jc w:val="both"/>
        <w:rPr>
          <w:sz w:val="22"/>
          <w:szCs w:val="22"/>
        </w:rPr>
      </w:pPr>
      <w:r w:rsidRPr="0094003A">
        <w:rPr>
          <w:rFonts w:eastAsia="-webkit-standard" w:cs="-webkit-standard"/>
          <w:sz w:val="22"/>
          <w:szCs w:val="22"/>
        </w:rPr>
        <w:t>En balance, el componente contractual presenta avances importantes en la creación de mesas técnicas, elaboración y revisión de informes, actualización de matrices de seguimiento, formulación de observaciones a ejecutores, construcción de actas y articulación con la supervisión contractual. Sin embargo, su consolidación depende de fortalecer la matriz integral de obligaciones, asegurar el cargue oportuno de evidencias, mejorar la trazabilidad de comunicaciones con GECELCA y FENOGE, y articular de manera más estrecha los reportes contractuales con la supervisión, la interventoría, la PMO y los indicadores del programa.</w:t>
      </w:r>
    </w:p>
    <w:p w14:paraId="491E30C7" w14:textId="34973F87" w:rsidR="00014541" w:rsidRPr="0094003A" w:rsidRDefault="00014541" w:rsidP="00014541">
      <w:pPr>
        <w:jc w:val="both"/>
        <w:rPr>
          <w:sz w:val="22"/>
          <w:szCs w:val="22"/>
        </w:rPr>
      </w:pPr>
      <w:r w:rsidRPr="0094003A">
        <w:rPr>
          <w:rFonts w:eastAsia="-webkit-standard" w:cs="-webkit-standard"/>
          <w:sz w:val="22"/>
          <w:szCs w:val="22"/>
        </w:rPr>
        <w:t>El seguimiento del Programa Colombia Solar permite identificar avances relevantes en los componentes contractual y regulatorio, los cuales resultan determinantes para garantizar la implementación ordenada de la política pública, la trazabilidad de las obligaciones asumidas por los ejecutores, la formalización de las decisiones técnicas y la consolidación de las condiciones normativas requeridas para la ejecución de las soluciones solares fotovoltaicas.</w:t>
      </w:r>
    </w:p>
    <w:p w14:paraId="26422640" w14:textId="77777777" w:rsidR="00014541" w:rsidRPr="0094003A" w:rsidRDefault="00014541" w:rsidP="00014541">
      <w:pPr>
        <w:jc w:val="both"/>
        <w:rPr>
          <w:sz w:val="22"/>
          <w:szCs w:val="22"/>
        </w:rPr>
      </w:pPr>
      <w:r w:rsidRPr="0094003A">
        <w:rPr>
          <w:rFonts w:eastAsia="-webkit-standard" w:cs="-webkit-standard"/>
          <w:sz w:val="22"/>
          <w:szCs w:val="22"/>
        </w:rPr>
        <w:t>Estos componentes cumplen una función habilitante dentro del programa. El componente regulatorio define y ajusta las reglas necesarias para la operación, medición, liquidación, facturación, comercialización y reconocimiento de los beneficios asociados a las soluciones de autogeneración solar. Por su parte, el componente contractual permite verificar que los contratos, convenios, mesas técnicas, informes, obligaciones, actas, matrices de seguimiento e instrumentos de supervisión e interventoría se encuentren alineados con los objetivos del Programa Colombia Solar y con los compromisos asumidos por FENOGE, GECELCA y demás actores involucrados.</w:t>
      </w:r>
    </w:p>
    <w:p w14:paraId="52C22490" w14:textId="77777777" w:rsidR="00014541" w:rsidRPr="0094003A" w:rsidRDefault="00014541" w:rsidP="00014541">
      <w:pPr>
        <w:jc w:val="both"/>
        <w:rPr>
          <w:sz w:val="22"/>
          <w:szCs w:val="22"/>
        </w:rPr>
      </w:pPr>
      <w:r w:rsidRPr="0094003A">
        <w:rPr>
          <w:rFonts w:eastAsia="-webkit-standard" w:cs="-webkit-standard"/>
          <w:sz w:val="22"/>
          <w:szCs w:val="22"/>
        </w:rPr>
        <w:t>En conjunto, los avances de estos dos componentes muestran que la política pública no se limita a la instalación física de soluciones fotovoltaicas, sino que requiere una arquitectura jurídica, regulatoria y contractual capaz de sostener la ejecución, reducir riesgos, asegurar la legalidad de las actuaciones, articular a los ejecutores y generar evidencia verificable para la toma de decisiones institucionales.</w:t>
      </w:r>
    </w:p>
    <w:p w14:paraId="69946B5D" w14:textId="77777777" w:rsidR="005C4165" w:rsidRPr="00732E83" w:rsidRDefault="005C4165" w:rsidP="005C4165"/>
    <w:sectPr w:rsidR="005C4165" w:rsidRPr="00732E83">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webkit-standard">
    <w:altName w:val="Cambri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NunitoSans10pt-SemiBold">
    <w:altName w:val="Yu Gothic"/>
    <w:panose1 w:val="00000000000000000000"/>
    <w:charset w:val="00"/>
    <w:family w:val="swiss"/>
    <w:notTrueType/>
    <w:pitch w:val="default"/>
    <w:sig w:usb0="00000003" w:usb1="08070000" w:usb2="00000010" w:usb3="00000000" w:csb0="0002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36018F"/>
    <w:multiLevelType w:val="hybridMultilevel"/>
    <w:tmpl w:val="FFFFFFFF"/>
    <w:lvl w:ilvl="0" w:tplc="E50A6256">
      <w:start w:val="1"/>
      <w:numFmt w:val="decimal"/>
      <w:lvlText w:val="%1."/>
      <w:lvlJc w:val="left"/>
      <w:pPr>
        <w:ind w:left="720" w:hanging="360"/>
      </w:pPr>
    </w:lvl>
    <w:lvl w:ilvl="1" w:tplc="EB2CAA88">
      <w:start w:val="1"/>
      <w:numFmt w:val="lowerLetter"/>
      <w:lvlText w:val="%2."/>
      <w:lvlJc w:val="left"/>
      <w:pPr>
        <w:ind w:left="1440" w:hanging="360"/>
      </w:pPr>
    </w:lvl>
    <w:lvl w:ilvl="2" w:tplc="D2964408">
      <w:start w:val="1"/>
      <w:numFmt w:val="lowerRoman"/>
      <w:lvlText w:val="%3."/>
      <w:lvlJc w:val="right"/>
      <w:pPr>
        <w:ind w:left="2160" w:hanging="180"/>
      </w:pPr>
    </w:lvl>
    <w:lvl w:ilvl="3" w:tplc="689A4650">
      <w:start w:val="1"/>
      <w:numFmt w:val="decimal"/>
      <w:lvlText w:val="%4."/>
      <w:lvlJc w:val="left"/>
      <w:pPr>
        <w:ind w:left="2880" w:hanging="360"/>
      </w:pPr>
    </w:lvl>
    <w:lvl w:ilvl="4" w:tplc="EA88E0C0">
      <w:start w:val="1"/>
      <w:numFmt w:val="lowerLetter"/>
      <w:lvlText w:val="%5."/>
      <w:lvlJc w:val="left"/>
      <w:pPr>
        <w:ind w:left="3600" w:hanging="360"/>
      </w:pPr>
    </w:lvl>
    <w:lvl w:ilvl="5" w:tplc="B700F148">
      <w:start w:val="1"/>
      <w:numFmt w:val="lowerRoman"/>
      <w:lvlText w:val="%6."/>
      <w:lvlJc w:val="right"/>
      <w:pPr>
        <w:ind w:left="4320" w:hanging="180"/>
      </w:pPr>
    </w:lvl>
    <w:lvl w:ilvl="6" w:tplc="FEF20D06">
      <w:start w:val="1"/>
      <w:numFmt w:val="decimal"/>
      <w:lvlText w:val="%7."/>
      <w:lvlJc w:val="left"/>
      <w:pPr>
        <w:ind w:left="5040" w:hanging="360"/>
      </w:pPr>
    </w:lvl>
    <w:lvl w:ilvl="7" w:tplc="145C6E5A">
      <w:start w:val="1"/>
      <w:numFmt w:val="lowerLetter"/>
      <w:lvlText w:val="%8."/>
      <w:lvlJc w:val="left"/>
      <w:pPr>
        <w:ind w:left="5760" w:hanging="360"/>
      </w:pPr>
    </w:lvl>
    <w:lvl w:ilvl="8" w:tplc="F2AEB362">
      <w:start w:val="1"/>
      <w:numFmt w:val="lowerRoman"/>
      <w:lvlText w:val="%9."/>
      <w:lvlJc w:val="right"/>
      <w:pPr>
        <w:ind w:left="6480" w:hanging="180"/>
      </w:pPr>
    </w:lvl>
  </w:abstractNum>
  <w:num w:numId="1" w16cid:durableId="14285017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904B018"/>
    <w:rsid w:val="00000250"/>
    <w:rsid w:val="000010A9"/>
    <w:rsid w:val="00014541"/>
    <w:rsid w:val="00032268"/>
    <w:rsid w:val="00036AC3"/>
    <w:rsid w:val="00042CE3"/>
    <w:rsid w:val="00052B5B"/>
    <w:rsid w:val="0005623E"/>
    <w:rsid w:val="00062B5A"/>
    <w:rsid w:val="00063319"/>
    <w:rsid w:val="00074F5C"/>
    <w:rsid w:val="000755B7"/>
    <w:rsid w:val="00075757"/>
    <w:rsid w:val="00090D17"/>
    <w:rsid w:val="00093FA3"/>
    <w:rsid w:val="000955DA"/>
    <w:rsid w:val="000A4B63"/>
    <w:rsid w:val="000A6112"/>
    <w:rsid w:val="000B3682"/>
    <w:rsid w:val="000B59D8"/>
    <w:rsid w:val="000D6607"/>
    <w:rsid w:val="000E1D73"/>
    <w:rsid w:val="000F2E5A"/>
    <w:rsid w:val="00100121"/>
    <w:rsid w:val="001052B3"/>
    <w:rsid w:val="00114E7E"/>
    <w:rsid w:val="00143170"/>
    <w:rsid w:val="00144BA9"/>
    <w:rsid w:val="001474F1"/>
    <w:rsid w:val="001507C9"/>
    <w:rsid w:val="001526E3"/>
    <w:rsid w:val="00157FBB"/>
    <w:rsid w:val="00166AD6"/>
    <w:rsid w:val="00171CC7"/>
    <w:rsid w:val="00173450"/>
    <w:rsid w:val="00183025"/>
    <w:rsid w:val="001A0CCC"/>
    <w:rsid w:val="001A1312"/>
    <w:rsid w:val="001B582D"/>
    <w:rsid w:val="001C074B"/>
    <w:rsid w:val="001C234F"/>
    <w:rsid w:val="001C5B3C"/>
    <w:rsid w:val="001D3405"/>
    <w:rsid w:val="001F17F9"/>
    <w:rsid w:val="002013E0"/>
    <w:rsid w:val="0021253C"/>
    <w:rsid w:val="00223677"/>
    <w:rsid w:val="00223B57"/>
    <w:rsid w:val="0023191E"/>
    <w:rsid w:val="00240B7E"/>
    <w:rsid w:val="00260AC1"/>
    <w:rsid w:val="0028108D"/>
    <w:rsid w:val="00283E26"/>
    <w:rsid w:val="002A7469"/>
    <w:rsid w:val="002E4883"/>
    <w:rsid w:val="00304AEC"/>
    <w:rsid w:val="00316DAD"/>
    <w:rsid w:val="00316EFC"/>
    <w:rsid w:val="00325F5A"/>
    <w:rsid w:val="00326C65"/>
    <w:rsid w:val="00327C75"/>
    <w:rsid w:val="00331B6C"/>
    <w:rsid w:val="003333FA"/>
    <w:rsid w:val="00333F1A"/>
    <w:rsid w:val="003350AF"/>
    <w:rsid w:val="00353F26"/>
    <w:rsid w:val="00356243"/>
    <w:rsid w:val="00366162"/>
    <w:rsid w:val="00380FC1"/>
    <w:rsid w:val="0038113D"/>
    <w:rsid w:val="00384775"/>
    <w:rsid w:val="00397906"/>
    <w:rsid w:val="003A5953"/>
    <w:rsid w:val="003A732F"/>
    <w:rsid w:val="003A7491"/>
    <w:rsid w:val="003B5E91"/>
    <w:rsid w:val="003C09FC"/>
    <w:rsid w:val="003C15EA"/>
    <w:rsid w:val="003C1CFA"/>
    <w:rsid w:val="003D7243"/>
    <w:rsid w:val="003E37B0"/>
    <w:rsid w:val="003E443D"/>
    <w:rsid w:val="003F07C7"/>
    <w:rsid w:val="003F1BA6"/>
    <w:rsid w:val="003F372E"/>
    <w:rsid w:val="00411A84"/>
    <w:rsid w:val="00417EA9"/>
    <w:rsid w:val="0042029E"/>
    <w:rsid w:val="00420712"/>
    <w:rsid w:val="0042126F"/>
    <w:rsid w:val="004331AA"/>
    <w:rsid w:val="00442A8D"/>
    <w:rsid w:val="00442DE8"/>
    <w:rsid w:val="00466F29"/>
    <w:rsid w:val="00473CA4"/>
    <w:rsid w:val="004818F0"/>
    <w:rsid w:val="00482679"/>
    <w:rsid w:val="004A21DD"/>
    <w:rsid w:val="004A4C0D"/>
    <w:rsid w:val="004B3F18"/>
    <w:rsid w:val="004C0B3A"/>
    <w:rsid w:val="004C3295"/>
    <w:rsid w:val="004C5B11"/>
    <w:rsid w:val="004E27D8"/>
    <w:rsid w:val="004E2BFA"/>
    <w:rsid w:val="004E5E3B"/>
    <w:rsid w:val="004E77EC"/>
    <w:rsid w:val="004F2DA1"/>
    <w:rsid w:val="004F6799"/>
    <w:rsid w:val="005141D5"/>
    <w:rsid w:val="005169A4"/>
    <w:rsid w:val="00520E2F"/>
    <w:rsid w:val="005452B7"/>
    <w:rsid w:val="0055508A"/>
    <w:rsid w:val="005551B4"/>
    <w:rsid w:val="00564184"/>
    <w:rsid w:val="00570199"/>
    <w:rsid w:val="005741C5"/>
    <w:rsid w:val="00580FD0"/>
    <w:rsid w:val="005811DD"/>
    <w:rsid w:val="00596168"/>
    <w:rsid w:val="00597C61"/>
    <w:rsid w:val="005A58F6"/>
    <w:rsid w:val="005C4165"/>
    <w:rsid w:val="005D0A22"/>
    <w:rsid w:val="005E4153"/>
    <w:rsid w:val="005F1F67"/>
    <w:rsid w:val="005F766F"/>
    <w:rsid w:val="006163B3"/>
    <w:rsid w:val="00621535"/>
    <w:rsid w:val="0064583C"/>
    <w:rsid w:val="00646711"/>
    <w:rsid w:val="0064691A"/>
    <w:rsid w:val="00656074"/>
    <w:rsid w:val="00660CDA"/>
    <w:rsid w:val="00664D7F"/>
    <w:rsid w:val="00667819"/>
    <w:rsid w:val="006741E5"/>
    <w:rsid w:val="006900CE"/>
    <w:rsid w:val="00691619"/>
    <w:rsid w:val="006B65E4"/>
    <w:rsid w:val="006C45C2"/>
    <w:rsid w:val="006D4CF9"/>
    <w:rsid w:val="006E6117"/>
    <w:rsid w:val="006E6E51"/>
    <w:rsid w:val="006F36B7"/>
    <w:rsid w:val="0070591B"/>
    <w:rsid w:val="0070795C"/>
    <w:rsid w:val="007135E1"/>
    <w:rsid w:val="00716B3E"/>
    <w:rsid w:val="007201E6"/>
    <w:rsid w:val="0072059E"/>
    <w:rsid w:val="0072406C"/>
    <w:rsid w:val="00724E41"/>
    <w:rsid w:val="007316A5"/>
    <w:rsid w:val="00732E83"/>
    <w:rsid w:val="00743B57"/>
    <w:rsid w:val="00745353"/>
    <w:rsid w:val="00752CE6"/>
    <w:rsid w:val="0075347A"/>
    <w:rsid w:val="0075661D"/>
    <w:rsid w:val="00757237"/>
    <w:rsid w:val="00766B6E"/>
    <w:rsid w:val="00767C1C"/>
    <w:rsid w:val="00772795"/>
    <w:rsid w:val="00776A19"/>
    <w:rsid w:val="00781CC2"/>
    <w:rsid w:val="00785494"/>
    <w:rsid w:val="00795AFE"/>
    <w:rsid w:val="007A2365"/>
    <w:rsid w:val="007A45D3"/>
    <w:rsid w:val="007A7D7A"/>
    <w:rsid w:val="007B2B10"/>
    <w:rsid w:val="007C0A28"/>
    <w:rsid w:val="007D0DFF"/>
    <w:rsid w:val="007D519E"/>
    <w:rsid w:val="007E4229"/>
    <w:rsid w:val="007E452C"/>
    <w:rsid w:val="007E5E7C"/>
    <w:rsid w:val="007E6CE8"/>
    <w:rsid w:val="007F4556"/>
    <w:rsid w:val="007F654C"/>
    <w:rsid w:val="00805163"/>
    <w:rsid w:val="008052FA"/>
    <w:rsid w:val="00816B68"/>
    <w:rsid w:val="00823049"/>
    <w:rsid w:val="00824BF6"/>
    <w:rsid w:val="008836F4"/>
    <w:rsid w:val="008A1968"/>
    <w:rsid w:val="008A6697"/>
    <w:rsid w:val="008A6BFF"/>
    <w:rsid w:val="008B1A22"/>
    <w:rsid w:val="008B1D1E"/>
    <w:rsid w:val="008B29A1"/>
    <w:rsid w:val="008D1768"/>
    <w:rsid w:val="008D6E64"/>
    <w:rsid w:val="008F4E8F"/>
    <w:rsid w:val="00904AD1"/>
    <w:rsid w:val="009060E4"/>
    <w:rsid w:val="00914AD5"/>
    <w:rsid w:val="00932F94"/>
    <w:rsid w:val="00935706"/>
    <w:rsid w:val="00935E48"/>
    <w:rsid w:val="009364E1"/>
    <w:rsid w:val="0094003A"/>
    <w:rsid w:val="00941CB5"/>
    <w:rsid w:val="00944764"/>
    <w:rsid w:val="009677B7"/>
    <w:rsid w:val="00967D08"/>
    <w:rsid w:val="00995762"/>
    <w:rsid w:val="00996288"/>
    <w:rsid w:val="009A72B5"/>
    <w:rsid w:val="009C04AF"/>
    <w:rsid w:val="009C1043"/>
    <w:rsid w:val="009D42DD"/>
    <w:rsid w:val="009E1706"/>
    <w:rsid w:val="009F17F1"/>
    <w:rsid w:val="00A07E5E"/>
    <w:rsid w:val="00A24F48"/>
    <w:rsid w:val="00A2739A"/>
    <w:rsid w:val="00A3549E"/>
    <w:rsid w:val="00A36FF0"/>
    <w:rsid w:val="00A47820"/>
    <w:rsid w:val="00A526A5"/>
    <w:rsid w:val="00A539F1"/>
    <w:rsid w:val="00A60406"/>
    <w:rsid w:val="00A736BB"/>
    <w:rsid w:val="00A752A5"/>
    <w:rsid w:val="00A803E5"/>
    <w:rsid w:val="00A812B2"/>
    <w:rsid w:val="00A87DCF"/>
    <w:rsid w:val="00AC1673"/>
    <w:rsid w:val="00AC6918"/>
    <w:rsid w:val="00AD1B0D"/>
    <w:rsid w:val="00AD5C48"/>
    <w:rsid w:val="00AD701A"/>
    <w:rsid w:val="00AE22F2"/>
    <w:rsid w:val="00AE36BF"/>
    <w:rsid w:val="00AE5050"/>
    <w:rsid w:val="00AE6B33"/>
    <w:rsid w:val="00B031CD"/>
    <w:rsid w:val="00B07573"/>
    <w:rsid w:val="00B07ECB"/>
    <w:rsid w:val="00B16AF7"/>
    <w:rsid w:val="00B176DA"/>
    <w:rsid w:val="00B17BA6"/>
    <w:rsid w:val="00B27453"/>
    <w:rsid w:val="00B3334C"/>
    <w:rsid w:val="00B36156"/>
    <w:rsid w:val="00B40A12"/>
    <w:rsid w:val="00B43DED"/>
    <w:rsid w:val="00B53930"/>
    <w:rsid w:val="00B621A9"/>
    <w:rsid w:val="00B67440"/>
    <w:rsid w:val="00B8219E"/>
    <w:rsid w:val="00B95DBD"/>
    <w:rsid w:val="00B95F89"/>
    <w:rsid w:val="00BA1B71"/>
    <w:rsid w:val="00BA3C17"/>
    <w:rsid w:val="00BC79FC"/>
    <w:rsid w:val="00BE65EA"/>
    <w:rsid w:val="00BF2380"/>
    <w:rsid w:val="00C0133D"/>
    <w:rsid w:val="00C03BF9"/>
    <w:rsid w:val="00C16CDC"/>
    <w:rsid w:val="00C17C0C"/>
    <w:rsid w:val="00C17C56"/>
    <w:rsid w:val="00C208EF"/>
    <w:rsid w:val="00C27E7E"/>
    <w:rsid w:val="00C36BCC"/>
    <w:rsid w:val="00C41769"/>
    <w:rsid w:val="00C46FCC"/>
    <w:rsid w:val="00C52E5A"/>
    <w:rsid w:val="00C65B06"/>
    <w:rsid w:val="00C71672"/>
    <w:rsid w:val="00C7572B"/>
    <w:rsid w:val="00C77D6E"/>
    <w:rsid w:val="00C86FF0"/>
    <w:rsid w:val="00CB01D8"/>
    <w:rsid w:val="00CC2CA4"/>
    <w:rsid w:val="00CD3E63"/>
    <w:rsid w:val="00CD7424"/>
    <w:rsid w:val="00CE2291"/>
    <w:rsid w:val="00CE4191"/>
    <w:rsid w:val="00CE4A4A"/>
    <w:rsid w:val="00CE70FB"/>
    <w:rsid w:val="00D13AE8"/>
    <w:rsid w:val="00D17C3B"/>
    <w:rsid w:val="00D20824"/>
    <w:rsid w:val="00D21073"/>
    <w:rsid w:val="00D24A1F"/>
    <w:rsid w:val="00D317E9"/>
    <w:rsid w:val="00D3272B"/>
    <w:rsid w:val="00D33975"/>
    <w:rsid w:val="00D51395"/>
    <w:rsid w:val="00D803D0"/>
    <w:rsid w:val="00D97AEA"/>
    <w:rsid w:val="00DA3370"/>
    <w:rsid w:val="00DA4C16"/>
    <w:rsid w:val="00DA4CE9"/>
    <w:rsid w:val="00DA5FBE"/>
    <w:rsid w:val="00DB7D91"/>
    <w:rsid w:val="00DC2178"/>
    <w:rsid w:val="00DC296D"/>
    <w:rsid w:val="00DCC788"/>
    <w:rsid w:val="00DD72F2"/>
    <w:rsid w:val="00E03160"/>
    <w:rsid w:val="00E03F8E"/>
    <w:rsid w:val="00E11241"/>
    <w:rsid w:val="00E12FF4"/>
    <w:rsid w:val="00E248C2"/>
    <w:rsid w:val="00E2694D"/>
    <w:rsid w:val="00E37FAA"/>
    <w:rsid w:val="00E41AA6"/>
    <w:rsid w:val="00E427EC"/>
    <w:rsid w:val="00E45145"/>
    <w:rsid w:val="00E5736E"/>
    <w:rsid w:val="00E62AE2"/>
    <w:rsid w:val="00E74B96"/>
    <w:rsid w:val="00E76B8A"/>
    <w:rsid w:val="00E92B7C"/>
    <w:rsid w:val="00EA598C"/>
    <w:rsid w:val="00EB1A4C"/>
    <w:rsid w:val="00EB484F"/>
    <w:rsid w:val="00ED742E"/>
    <w:rsid w:val="00EF3A4F"/>
    <w:rsid w:val="00F04D8A"/>
    <w:rsid w:val="00F06152"/>
    <w:rsid w:val="00F10081"/>
    <w:rsid w:val="00F12DC5"/>
    <w:rsid w:val="00F2558E"/>
    <w:rsid w:val="00F31A0B"/>
    <w:rsid w:val="00F3461E"/>
    <w:rsid w:val="00F3769E"/>
    <w:rsid w:val="00F50C4B"/>
    <w:rsid w:val="00F52604"/>
    <w:rsid w:val="00F570FC"/>
    <w:rsid w:val="00F62895"/>
    <w:rsid w:val="00F645A6"/>
    <w:rsid w:val="00F64FF8"/>
    <w:rsid w:val="00F9043E"/>
    <w:rsid w:val="00F97A44"/>
    <w:rsid w:val="00FA3516"/>
    <w:rsid w:val="00FA5528"/>
    <w:rsid w:val="00FE2B5F"/>
    <w:rsid w:val="00FE4A4E"/>
    <w:rsid w:val="00FE4B4E"/>
    <w:rsid w:val="00FF0434"/>
    <w:rsid w:val="00FF70E3"/>
    <w:rsid w:val="04595944"/>
    <w:rsid w:val="0470FB35"/>
    <w:rsid w:val="05B30AF7"/>
    <w:rsid w:val="06204D51"/>
    <w:rsid w:val="077C1A71"/>
    <w:rsid w:val="08D87410"/>
    <w:rsid w:val="099694EE"/>
    <w:rsid w:val="0C824EDC"/>
    <w:rsid w:val="0DBCDBED"/>
    <w:rsid w:val="102C6CB2"/>
    <w:rsid w:val="10985035"/>
    <w:rsid w:val="1116DDC6"/>
    <w:rsid w:val="11DE147B"/>
    <w:rsid w:val="12041C2B"/>
    <w:rsid w:val="1270A42B"/>
    <w:rsid w:val="131B160F"/>
    <w:rsid w:val="142CD71E"/>
    <w:rsid w:val="149F30DC"/>
    <w:rsid w:val="16085C38"/>
    <w:rsid w:val="171E9328"/>
    <w:rsid w:val="1833D5FD"/>
    <w:rsid w:val="183EEE1B"/>
    <w:rsid w:val="1851B6DD"/>
    <w:rsid w:val="1A7E4BBC"/>
    <w:rsid w:val="1B791F19"/>
    <w:rsid w:val="1C5A90BF"/>
    <w:rsid w:val="1C75E6A3"/>
    <w:rsid w:val="1CAC489C"/>
    <w:rsid w:val="1D8D6F0C"/>
    <w:rsid w:val="1DA39582"/>
    <w:rsid w:val="1E7CB077"/>
    <w:rsid w:val="20EE2278"/>
    <w:rsid w:val="21518AE0"/>
    <w:rsid w:val="2184993B"/>
    <w:rsid w:val="21D43870"/>
    <w:rsid w:val="221871EF"/>
    <w:rsid w:val="23E8530D"/>
    <w:rsid w:val="268623D6"/>
    <w:rsid w:val="26BC93B0"/>
    <w:rsid w:val="2939BC29"/>
    <w:rsid w:val="2B788020"/>
    <w:rsid w:val="2CED5AF8"/>
    <w:rsid w:val="2D75AC65"/>
    <w:rsid w:val="2DE0C607"/>
    <w:rsid w:val="2EE36120"/>
    <w:rsid w:val="2F5EBC7D"/>
    <w:rsid w:val="2F7067F4"/>
    <w:rsid w:val="2FB339B2"/>
    <w:rsid w:val="3017153C"/>
    <w:rsid w:val="30C0AD89"/>
    <w:rsid w:val="30CDF71B"/>
    <w:rsid w:val="3177B753"/>
    <w:rsid w:val="3355903C"/>
    <w:rsid w:val="336EBC96"/>
    <w:rsid w:val="33EE85FE"/>
    <w:rsid w:val="349610FC"/>
    <w:rsid w:val="349AA9BC"/>
    <w:rsid w:val="356B3BA0"/>
    <w:rsid w:val="3589F7A0"/>
    <w:rsid w:val="364A4516"/>
    <w:rsid w:val="36C5C9C7"/>
    <w:rsid w:val="371D6339"/>
    <w:rsid w:val="37652F6D"/>
    <w:rsid w:val="37667737"/>
    <w:rsid w:val="37823D1D"/>
    <w:rsid w:val="37D3A2BA"/>
    <w:rsid w:val="38171C36"/>
    <w:rsid w:val="38B9B530"/>
    <w:rsid w:val="390102F6"/>
    <w:rsid w:val="3A8E7E57"/>
    <w:rsid w:val="3AC9CCD3"/>
    <w:rsid w:val="3DFE5A38"/>
    <w:rsid w:val="3FA7914B"/>
    <w:rsid w:val="3FFAB477"/>
    <w:rsid w:val="408E9F51"/>
    <w:rsid w:val="40F46C02"/>
    <w:rsid w:val="433FB257"/>
    <w:rsid w:val="488E564D"/>
    <w:rsid w:val="4973606D"/>
    <w:rsid w:val="4B303D0B"/>
    <w:rsid w:val="4B309A62"/>
    <w:rsid w:val="4B3481A8"/>
    <w:rsid w:val="4BFA4319"/>
    <w:rsid w:val="4C322AA8"/>
    <w:rsid w:val="4CCBE3D6"/>
    <w:rsid w:val="4D8F2AB6"/>
    <w:rsid w:val="4F5E450A"/>
    <w:rsid w:val="4FABF6B9"/>
    <w:rsid w:val="51B1DA9F"/>
    <w:rsid w:val="52551FFD"/>
    <w:rsid w:val="527DE801"/>
    <w:rsid w:val="5283602D"/>
    <w:rsid w:val="532E0CC6"/>
    <w:rsid w:val="5385786B"/>
    <w:rsid w:val="53874C0B"/>
    <w:rsid w:val="53E4E2FD"/>
    <w:rsid w:val="547D5EB6"/>
    <w:rsid w:val="54A2F51C"/>
    <w:rsid w:val="55630C85"/>
    <w:rsid w:val="5574422E"/>
    <w:rsid w:val="55BB65E3"/>
    <w:rsid w:val="566404AD"/>
    <w:rsid w:val="569DFD2C"/>
    <w:rsid w:val="57BDA5E9"/>
    <w:rsid w:val="58F01D41"/>
    <w:rsid w:val="58FE92E0"/>
    <w:rsid w:val="59A7F68C"/>
    <w:rsid w:val="59C88DCD"/>
    <w:rsid w:val="5CB3FAB1"/>
    <w:rsid w:val="5CB7E2D8"/>
    <w:rsid w:val="5CD9068B"/>
    <w:rsid w:val="5DB3B822"/>
    <w:rsid w:val="5FB07610"/>
    <w:rsid w:val="5FB8013B"/>
    <w:rsid w:val="5FD3B07F"/>
    <w:rsid w:val="60219309"/>
    <w:rsid w:val="606097BA"/>
    <w:rsid w:val="6196C2A2"/>
    <w:rsid w:val="620ED59C"/>
    <w:rsid w:val="632F46E8"/>
    <w:rsid w:val="634E8939"/>
    <w:rsid w:val="65CAF9F2"/>
    <w:rsid w:val="664E702E"/>
    <w:rsid w:val="66EF5CEF"/>
    <w:rsid w:val="677D2499"/>
    <w:rsid w:val="67BFD8E1"/>
    <w:rsid w:val="68328C29"/>
    <w:rsid w:val="68B60A0C"/>
    <w:rsid w:val="69465C4F"/>
    <w:rsid w:val="6A216BF0"/>
    <w:rsid w:val="6AD5D67B"/>
    <w:rsid w:val="6AE42FE0"/>
    <w:rsid w:val="6B12494B"/>
    <w:rsid w:val="6BAC86A1"/>
    <w:rsid w:val="6C72D258"/>
    <w:rsid w:val="6CEEEEA1"/>
    <w:rsid w:val="6D1081BA"/>
    <w:rsid w:val="6D1F93AB"/>
    <w:rsid w:val="6DA4A6DD"/>
    <w:rsid w:val="6DD7AE5A"/>
    <w:rsid w:val="6F1F8C54"/>
    <w:rsid w:val="70391EC7"/>
    <w:rsid w:val="70BFD048"/>
    <w:rsid w:val="70C11ECB"/>
    <w:rsid w:val="70C687C3"/>
    <w:rsid w:val="70DDA7D8"/>
    <w:rsid w:val="70F0445E"/>
    <w:rsid w:val="71B06690"/>
    <w:rsid w:val="72A0C2C9"/>
    <w:rsid w:val="72E94EDD"/>
    <w:rsid w:val="7316AD97"/>
    <w:rsid w:val="7334446F"/>
    <w:rsid w:val="747E6935"/>
    <w:rsid w:val="7480BD26"/>
    <w:rsid w:val="74C7D754"/>
    <w:rsid w:val="7621160B"/>
    <w:rsid w:val="775AAD7B"/>
    <w:rsid w:val="77BDD274"/>
    <w:rsid w:val="784F7548"/>
    <w:rsid w:val="7879D2B5"/>
    <w:rsid w:val="78815BC1"/>
    <w:rsid w:val="78872438"/>
    <w:rsid w:val="7904B018"/>
    <w:rsid w:val="7A679B5A"/>
    <w:rsid w:val="7B9A2E1C"/>
    <w:rsid w:val="7C87DFA8"/>
    <w:rsid w:val="7FADE154"/>
    <w:rsid w:val="7FC86076"/>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919D1"/>
  <w15:chartTrackingRefBased/>
  <w15:docId w15:val="{F4F4E97D-BD10-411A-98A2-892F09723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rsid w:val="336EBC9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uiPriority w:val="9"/>
    <w:unhideWhenUsed/>
    <w:qFormat/>
    <w:rsid w:val="336EBC9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371D6339"/>
    <w:pPr>
      <w:ind w:left="720"/>
      <w:contextualSpacing/>
    </w:pPr>
  </w:style>
  <w:style w:type="character" w:styleId="Hipervnculo">
    <w:name w:val="Hyperlink"/>
    <w:basedOn w:val="Fuentedeprrafopredeter"/>
    <w:uiPriority w:val="99"/>
    <w:unhideWhenUsed/>
    <w:rPr>
      <w:color w:val="467886" w:themeColor="hyperlink"/>
      <w:u w:val="single"/>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n">
    <w:name w:val="Revision"/>
    <w:hidden/>
    <w:uiPriority w:val="99"/>
    <w:semiHidden/>
    <w:rsid w:val="00052B5B"/>
    <w:pPr>
      <w:spacing w:after="0" w:line="240" w:lineRule="auto"/>
    </w:pPr>
  </w:style>
  <w:style w:type="paragraph" w:styleId="Textoindependiente">
    <w:name w:val="Body Text"/>
    <w:basedOn w:val="Normal"/>
    <w:link w:val="TextoindependienteCar"/>
    <w:uiPriority w:val="1"/>
    <w:qFormat/>
    <w:rsid w:val="00052B5B"/>
    <w:pPr>
      <w:widowControl w:val="0"/>
      <w:autoSpaceDE w:val="0"/>
      <w:autoSpaceDN w:val="0"/>
      <w:spacing w:before="165" w:after="0" w:line="240" w:lineRule="auto"/>
      <w:ind w:left="23"/>
      <w:jc w:val="both"/>
    </w:pPr>
    <w:rPr>
      <w:rFonts w:ascii="Cambria" w:eastAsia="Cambria" w:hAnsi="Cambria" w:cs="Cambria"/>
    </w:rPr>
  </w:style>
  <w:style w:type="character" w:customStyle="1" w:styleId="TextoindependienteCar">
    <w:name w:val="Texto independiente Car"/>
    <w:basedOn w:val="Fuentedeprrafopredeter"/>
    <w:link w:val="Textoindependiente"/>
    <w:uiPriority w:val="1"/>
    <w:rsid w:val="00052B5B"/>
    <w:rPr>
      <w:rFonts w:ascii="Cambria" w:eastAsia="Cambria" w:hAnsi="Cambria" w:cs="Cambr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FDDE2435297A74CAF63EF7E5C286F56" ma:contentTypeVersion="12" ma:contentTypeDescription="Create a new document." ma:contentTypeScope="" ma:versionID="23d9980d83543f4cf0de88b2aa4255f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3b605a1138399019097d6649709c1666"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EB66855-32D0-414A-9867-D5A46BD0BDF0}">
  <ds:schemaRefs>
    <ds:schemaRef ds:uri="http://schemas.microsoft.com/sharepoint/v3/contenttype/forms"/>
  </ds:schemaRefs>
</ds:datastoreItem>
</file>

<file path=customXml/itemProps2.xml><?xml version="1.0" encoding="utf-8"?>
<ds:datastoreItem xmlns:ds="http://schemas.openxmlformats.org/officeDocument/2006/customXml" ds:itemID="{8513565E-6C07-4597-9FCB-D31B3983AF3E}">
  <ds:schemaRefs>
    <ds:schemaRef ds:uri="http://schemas.microsoft.com/office/2006/metadata/properties"/>
    <ds:schemaRef ds:uri="http://schemas.microsoft.com/office/infopath/2007/PartnerControls"/>
    <ds:schemaRef ds:uri="57acb73d-76ae-451c-8b54-4db7ac0d4972"/>
    <ds:schemaRef ds:uri="ff4715b3-8926-4057-a016-b56648b8fca4"/>
  </ds:schemaRefs>
</ds:datastoreItem>
</file>

<file path=customXml/itemProps3.xml><?xml version="1.0" encoding="utf-8"?>
<ds:datastoreItem xmlns:ds="http://schemas.openxmlformats.org/officeDocument/2006/customXml" ds:itemID="{097D2C60-E539-4993-A696-3432A8883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cb73d-76ae-451c-8b54-4db7ac0d4972"/>
    <ds:schemaRef ds:uri="ff4715b3-8926-4057-a016-b56648b8fc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10523</Words>
  <Characters>57879</Characters>
  <Application>Microsoft Office Word</Application>
  <DocSecurity>0</DocSecurity>
  <Lines>482</Lines>
  <Paragraphs>136</Paragraphs>
  <ScaleCrop>false</ScaleCrop>
  <Company/>
  <LinksUpToDate>false</LinksUpToDate>
  <CharactersWithSpaces>68266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JOSE CAVANZO GARCIA</dc:creator>
  <cp:keywords/>
  <dc:description/>
  <cp:lastModifiedBy>LUCIA LLANOS</cp:lastModifiedBy>
  <cp:revision>124</cp:revision>
  <dcterms:created xsi:type="dcterms:W3CDTF">2026-06-22T17:27:00Z</dcterms:created>
  <dcterms:modified xsi:type="dcterms:W3CDTF">2026-06-30T21:25:00Z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y fmtid="{D5CDD505-2E9C-101B-9397-08002B2CF9AE}" pid="3" name="MediaServiceImageTags">
    <vt:lpwstr/>
  </property>
</Properties>
</file>